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1E" w:rsidRPr="008D711E" w:rsidRDefault="008D711E" w:rsidP="008D711E">
      <w:pPr>
        <w:pStyle w:val="zalbold-centr"/>
        <w:spacing w:line="240" w:lineRule="auto"/>
        <w:jc w:val="right"/>
        <w:rPr>
          <w:rFonts w:asciiTheme="minorHAnsi" w:hAnsiTheme="minorHAnsi" w:cs="Times New Roman"/>
          <w:b w:val="0"/>
          <w:color w:val="auto"/>
          <w:sz w:val="20"/>
          <w:szCs w:val="20"/>
        </w:rPr>
      </w:pPr>
    </w:p>
    <w:p w:rsidR="00546B3C" w:rsidRPr="00DA0655" w:rsidRDefault="00E61E0E" w:rsidP="00546B3C">
      <w:pPr>
        <w:pStyle w:val="zalbold-centr"/>
        <w:spacing w:line="240" w:lineRule="auto"/>
        <w:rPr>
          <w:rFonts w:asciiTheme="minorHAnsi" w:hAnsiTheme="minorHAnsi" w:cs="Times New Roman"/>
          <w:color w:val="auto"/>
          <w:sz w:val="24"/>
          <w:szCs w:val="24"/>
        </w:rPr>
      </w:pPr>
      <w:r>
        <w:rPr>
          <w:rFonts w:asciiTheme="minorHAnsi" w:hAnsiTheme="minorHAnsi" w:cs="Times New Roman"/>
          <w:color w:val="auto"/>
          <w:sz w:val="24"/>
          <w:szCs w:val="24"/>
        </w:rPr>
        <w:t>Zarządzenie nr 98</w:t>
      </w:r>
      <w:r w:rsidR="00546B3C" w:rsidRPr="00DA0655">
        <w:rPr>
          <w:rFonts w:asciiTheme="minorHAnsi" w:hAnsiTheme="minorHAnsi" w:cs="Times New Roman"/>
          <w:color w:val="auto"/>
          <w:sz w:val="24"/>
          <w:szCs w:val="24"/>
        </w:rPr>
        <w:t>/</w:t>
      </w:r>
      <w:r w:rsidR="009714B7" w:rsidRPr="00DA0655">
        <w:rPr>
          <w:rFonts w:asciiTheme="minorHAnsi" w:hAnsiTheme="minorHAnsi" w:cs="Times New Roman"/>
          <w:color w:val="auto"/>
          <w:sz w:val="24"/>
          <w:szCs w:val="24"/>
        </w:rPr>
        <w:t>2024</w:t>
      </w:r>
    </w:p>
    <w:p w:rsidR="00546B3C" w:rsidRPr="00DA0655" w:rsidRDefault="00546B3C" w:rsidP="00546B3C">
      <w:pPr>
        <w:pStyle w:val="zalbold-centr"/>
        <w:spacing w:line="240" w:lineRule="auto"/>
        <w:rPr>
          <w:rFonts w:asciiTheme="minorHAnsi" w:hAnsiTheme="minorHAnsi" w:cs="Times New Roman"/>
          <w:color w:val="auto"/>
          <w:sz w:val="24"/>
          <w:szCs w:val="24"/>
        </w:rPr>
      </w:pPr>
      <w:r w:rsidRPr="00DA0655">
        <w:rPr>
          <w:rFonts w:asciiTheme="minorHAnsi" w:hAnsiTheme="minorHAnsi" w:cs="Times New Roman"/>
          <w:color w:val="auto"/>
          <w:sz w:val="24"/>
          <w:szCs w:val="24"/>
        </w:rPr>
        <w:t>Starosty Jarocińskiego</w:t>
      </w:r>
    </w:p>
    <w:p w:rsidR="00546B3C" w:rsidRPr="00DA0655" w:rsidRDefault="00E61E0E" w:rsidP="00546B3C">
      <w:pPr>
        <w:pStyle w:val="zalbold-centr"/>
        <w:spacing w:line="240" w:lineRule="auto"/>
        <w:rPr>
          <w:rFonts w:asciiTheme="minorHAnsi" w:hAnsiTheme="minorHAnsi" w:cs="Times New Roman"/>
          <w:i/>
          <w:color w:val="auto"/>
          <w:sz w:val="24"/>
          <w:szCs w:val="24"/>
        </w:rPr>
      </w:pPr>
      <w:r>
        <w:rPr>
          <w:rFonts w:asciiTheme="minorHAnsi" w:hAnsiTheme="minorHAnsi" w:cs="Times New Roman"/>
          <w:color w:val="auto"/>
          <w:sz w:val="24"/>
          <w:szCs w:val="24"/>
        </w:rPr>
        <w:t>z dnia 31 grudnia</w:t>
      </w:r>
      <w:r w:rsidR="00DA0655" w:rsidRPr="00DA0655">
        <w:rPr>
          <w:rFonts w:asciiTheme="minorHAnsi" w:hAnsiTheme="minorHAnsi" w:cs="Times New Roman"/>
          <w:color w:val="auto"/>
          <w:sz w:val="24"/>
          <w:szCs w:val="24"/>
        </w:rPr>
        <w:t xml:space="preserve"> 2024</w:t>
      </w:r>
      <w:r w:rsidR="00C447AF" w:rsidRPr="00DA0655">
        <w:rPr>
          <w:rFonts w:asciiTheme="minorHAnsi" w:hAnsiTheme="minorHAnsi" w:cs="Times New Roman"/>
          <w:color w:val="auto"/>
          <w:sz w:val="24"/>
          <w:szCs w:val="24"/>
        </w:rPr>
        <w:t>r.</w:t>
      </w:r>
    </w:p>
    <w:p w:rsidR="00546B3C" w:rsidRPr="00E34647" w:rsidRDefault="008D15C9" w:rsidP="00546B3C">
      <w:pPr>
        <w:pStyle w:val="zalbold-centr"/>
        <w:spacing w:line="240" w:lineRule="auto"/>
        <w:rPr>
          <w:rFonts w:asciiTheme="minorHAnsi" w:hAnsiTheme="minorHAnsi" w:cs="Times New Roman"/>
          <w:color w:val="auto"/>
          <w:sz w:val="24"/>
          <w:szCs w:val="24"/>
        </w:rPr>
      </w:pPr>
      <w:r>
        <w:rPr>
          <w:rFonts w:asciiTheme="minorHAnsi" w:hAnsiTheme="minorHAnsi" w:cs="Times New Roman"/>
          <w:color w:val="auto"/>
          <w:sz w:val="24"/>
          <w:szCs w:val="24"/>
        </w:rPr>
        <w:t>z</w:t>
      </w:r>
      <w:r w:rsidR="006D32D2">
        <w:rPr>
          <w:rFonts w:asciiTheme="minorHAnsi" w:hAnsiTheme="minorHAnsi" w:cs="Times New Roman"/>
          <w:color w:val="auto"/>
          <w:sz w:val="24"/>
          <w:szCs w:val="24"/>
        </w:rPr>
        <w:t xml:space="preserve">mieniające zarządzenie </w:t>
      </w:r>
      <w:r w:rsidR="00546B3C" w:rsidRPr="00E34647">
        <w:rPr>
          <w:rFonts w:asciiTheme="minorHAnsi" w:hAnsiTheme="minorHAnsi" w:cs="Times New Roman"/>
          <w:color w:val="auto"/>
          <w:sz w:val="24"/>
          <w:szCs w:val="24"/>
        </w:rPr>
        <w:t xml:space="preserve">w sprawie wprowadzenia instrukcji zasad (polityki) rachunkowości </w:t>
      </w:r>
    </w:p>
    <w:p w:rsidR="00546B3C" w:rsidRPr="00143DE5" w:rsidRDefault="00546B3C" w:rsidP="00546B3C">
      <w:pPr>
        <w:pStyle w:val="zalbold-centr"/>
        <w:spacing w:line="240" w:lineRule="auto"/>
        <w:rPr>
          <w:rFonts w:asciiTheme="minorHAnsi" w:hAnsiTheme="minorHAnsi" w:cs="Times New Roman"/>
          <w:color w:val="FF0000"/>
          <w:sz w:val="24"/>
          <w:szCs w:val="24"/>
        </w:rPr>
      </w:pPr>
    </w:p>
    <w:p w:rsidR="00625FBC" w:rsidRPr="00405D3C" w:rsidRDefault="00546B3C" w:rsidP="00625FBC">
      <w:pPr>
        <w:pStyle w:val="Zal-text"/>
        <w:spacing w:line="240" w:lineRule="auto"/>
        <w:rPr>
          <w:rFonts w:asciiTheme="minorHAnsi" w:hAnsiTheme="minorHAnsi" w:cs="Times New Roman"/>
          <w:color w:val="auto"/>
          <w:sz w:val="24"/>
          <w:szCs w:val="24"/>
        </w:rPr>
      </w:pPr>
      <w:r w:rsidRPr="00D36724">
        <w:rPr>
          <w:rFonts w:asciiTheme="minorHAnsi" w:hAnsiTheme="minorHAnsi" w:cs="Times New Roman"/>
          <w:color w:val="auto"/>
          <w:sz w:val="24"/>
          <w:szCs w:val="24"/>
        </w:rPr>
        <w:t>Na podstawie</w:t>
      </w:r>
      <w:r w:rsidR="002C06A0" w:rsidRPr="00D36724">
        <w:rPr>
          <w:rFonts w:asciiTheme="minorHAnsi" w:hAnsiTheme="minorHAnsi" w:cs="Times New Roman"/>
          <w:color w:val="auto"/>
          <w:sz w:val="24"/>
          <w:szCs w:val="24"/>
        </w:rPr>
        <w:t xml:space="preserve"> art. 35 ust. 2 ustawy z dnia 5 czerwca 1998 r. o samorządzie powiatowym </w:t>
      </w:r>
      <w:r w:rsidR="002C06A0" w:rsidRPr="00405D3C">
        <w:rPr>
          <w:rFonts w:asciiTheme="minorHAnsi" w:hAnsiTheme="minorHAnsi" w:cs="Times New Roman"/>
          <w:color w:val="auto"/>
          <w:sz w:val="24"/>
          <w:szCs w:val="24"/>
        </w:rPr>
        <w:t>(</w:t>
      </w:r>
      <w:r w:rsidR="002F3DB9" w:rsidRPr="00405D3C">
        <w:rPr>
          <w:rFonts w:asciiTheme="minorHAnsi" w:hAnsiTheme="minorHAnsi" w:cs="Times New Roman"/>
          <w:color w:val="auto"/>
          <w:sz w:val="24"/>
          <w:szCs w:val="24"/>
        </w:rPr>
        <w:t>t.j</w:t>
      </w:r>
      <w:r w:rsidR="002F3DB9" w:rsidRPr="00055A75">
        <w:rPr>
          <w:rFonts w:asciiTheme="minorHAnsi" w:hAnsiTheme="minorHAnsi" w:cs="Times New Roman"/>
          <w:color w:val="auto"/>
          <w:sz w:val="24"/>
          <w:szCs w:val="24"/>
        </w:rPr>
        <w:t>. </w:t>
      </w:r>
      <w:r w:rsidR="002C06A0" w:rsidRPr="00055A75">
        <w:rPr>
          <w:rFonts w:asciiTheme="minorHAnsi" w:hAnsiTheme="minorHAnsi" w:cs="Times New Roman"/>
          <w:color w:val="auto"/>
          <w:sz w:val="24"/>
          <w:szCs w:val="24"/>
        </w:rPr>
        <w:t xml:space="preserve">Dz. U. z </w:t>
      </w:r>
      <w:r w:rsidR="009714B7">
        <w:rPr>
          <w:rFonts w:asciiTheme="minorHAnsi" w:hAnsiTheme="minorHAnsi" w:cs="Times New Roman"/>
          <w:color w:val="auto"/>
          <w:sz w:val="24"/>
          <w:szCs w:val="24"/>
        </w:rPr>
        <w:t>2024</w:t>
      </w:r>
      <w:r w:rsidR="00D36724" w:rsidRPr="00055A75">
        <w:rPr>
          <w:rFonts w:asciiTheme="minorHAnsi" w:hAnsiTheme="minorHAnsi" w:cs="Times New Roman"/>
          <w:color w:val="auto"/>
          <w:sz w:val="24"/>
          <w:szCs w:val="24"/>
        </w:rPr>
        <w:t xml:space="preserve"> r. poz. </w:t>
      </w:r>
      <w:r w:rsidR="009714B7">
        <w:rPr>
          <w:rFonts w:asciiTheme="minorHAnsi" w:hAnsiTheme="minorHAnsi" w:cs="Times New Roman"/>
          <w:color w:val="auto"/>
          <w:sz w:val="24"/>
          <w:szCs w:val="24"/>
        </w:rPr>
        <w:t>107</w:t>
      </w:r>
      <w:r w:rsidR="002F3DB9" w:rsidRPr="00405D3C">
        <w:rPr>
          <w:rFonts w:asciiTheme="minorHAnsi" w:hAnsiTheme="minorHAnsi" w:cs="Times New Roman"/>
          <w:color w:val="auto"/>
          <w:sz w:val="24"/>
          <w:szCs w:val="24"/>
        </w:rPr>
        <w:t>)</w:t>
      </w:r>
      <w:r w:rsidRPr="00143DE5">
        <w:rPr>
          <w:rFonts w:asciiTheme="minorHAnsi" w:hAnsiTheme="minorHAnsi" w:cs="Times New Roman"/>
          <w:color w:val="FF0000"/>
          <w:sz w:val="24"/>
          <w:szCs w:val="24"/>
        </w:rPr>
        <w:t xml:space="preserve"> </w:t>
      </w:r>
      <w:r w:rsidR="002F3DB9" w:rsidRPr="00D36724">
        <w:rPr>
          <w:rFonts w:asciiTheme="minorHAnsi" w:hAnsiTheme="minorHAnsi" w:cs="Times New Roman"/>
          <w:color w:val="auto"/>
          <w:sz w:val="24"/>
          <w:szCs w:val="24"/>
        </w:rPr>
        <w:t xml:space="preserve">oraz </w:t>
      </w:r>
      <w:r w:rsidRPr="00D36724">
        <w:rPr>
          <w:rFonts w:asciiTheme="minorHAnsi" w:hAnsiTheme="minorHAnsi" w:cs="Times New Roman"/>
          <w:color w:val="auto"/>
          <w:sz w:val="24"/>
          <w:szCs w:val="24"/>
        </w:rPr>
        <w:t>art. 10 ust. 2 usta</w:t>
      </w:r>
      <w:r w:rsidR="00DC1C03" w:rsidRPr="00D36724">
        <w:rPr>
          <w:rFonts w:asciiTheme="minorHAnsi" w:hAnsiTheme="minorHAnsi" w:cs="Times New Roman"/>
          <w:color w:val="auto"/>
          <w:sz w:val="24"/>
          <w:szCs w:val="24"/>
        </w:rPr>
        <w:t xml:space="preserve">wy z dnia </w:t>
      </w:r>
      <w:r w:rsidR="00D36724">
        <w:rPr>
          <w:rFonts w:asciiTheme="minorHAnsi" w:hAnsiTheme="minorHAnsi" w:cs="Times New Roman"/>
          <w:color w:val="auto"/>
          <w:sz w:val="24"/>
          <w:szCs w:val="24"/>
        </w:rPr>
        <w:br/>
      </w:r>
      <w:r w:rsidR="00DC1C03" w:rsidRPr="00D36724">
        <w:rPr>
          <w:rFonts w:asciiTheme="minorHAnsi" w:hAnsiTheme="minorHAnsi" w:cs="Times New Roman"/>
          <w:color w:val="auto"/>
          <w:sz w:val="24"/>
          <w:szCs w:val="24"/>
        </w:rPr>
        <w:t>29 września 1994 </w:t>
      </w:r>
      <w:r w:rsidR="002F3DB9" w:rsidRPr="00D36724">
        <w:rPr>
          <w:rFonts w:asciiTheme="minorHAnsi" w:hAnsiTheme="minorHAnsi" w:cs="Times New Roman"/>
          <w:color w:val="auto"/>
          <w:sz w:val="24"/>
          <w:szCs w:val="24"/>
        </w:rPr>
        <w:t>r. o </w:t>
      </w:r>
      <w:r w:rsidRPr="00405D3C">
        <w:rPr>
          <w:rFonts w:asciiTheme="minorHAnsi" w:hAnsiTheme="minorHAnsi" w:cs="Times New Roman"/>
          <w:color w:val="auto"/>
          <w:sz w:val="24"/>
          <w:szCs w:val="24"/>
        </w:rPr>
        <w:t>rachunkowości (t</w:t>
      </w:r>
      <w:r w:rsidR="002F3DB9" w:rsidRPr="00405D3C">
        <w:rPr>
          <w:rFonts w:asciiTheme="minorHAnsi" w:hAnsiTheme="minorHAnsi" w:cs="Times New Roman"/>
          <w:color w:val="auto"/>
          <w:sz w:val="24"/>
          <w:szCs w:val="24"/>
        </w:rPr>
        <w:t>.</w:t>
      </w:r>
      <w:r w:rsidRPr="00405D3C">
        <w:rPr>
          <w:rFonts w:asciiTheme="minorHAnsi" w:hAnsiTheme="minorHAnsi" w:cs="Times New Roman"/>
          <w:color w:val="auto"/>
          <w:sz w:val="24"/>
          <w:szCs w:val="24"/>
        </w:rPr>
        <w:t xml:space="preserve"> j</w:t>
      </w:r>
      <w:r w:rsidR="002F3DB9" w:rsidRPr="00055A75">
        <w:rPr>
          <w:rFonts w:asciiTheme="minorHAnsi" w:hAnsiTheme="minorHAnsi" w:cs="Times New Roman"/>
          <w:color w:val="auto"/>
          <w:sz w:val="24"/>
          <w:szCs w:val="24"/>
        </w:rPr>
        <w:t xml:space="preserve">. </w:t>
      </w:r>
      <w:r w:rsidR="00E7454A">
        <w:rPr>
          <w:rFonts w:asciiTheme="minorHAnsi" w:hAnsiTheme="minorHAnsi" w:cs="Times New Roman"/>
          <w:color w:val="auto"/>
          <w:sz w:val="24"/>
          <w:szCs w:val="24"/>
        </w:rPr>
        <w:t>Dz. U. z 2023</w:t>
      </w:r>
      <w:r w:rsidR="00D36724" w:rsidRPr="00055A75">
        <w:rPr>
          <w:rFonts w:asciiTheme="minorHAnsi" w:hAnsiTheme="minorHAnsi" w:cs="Times New Roman"/>
          <w:color w:val="auto"/>
          <w:sz w:val="24"/>
          <w:szCs w:val="24"/>
        </w:rPr>
        <w:t xml:space="preserve"> r. poz. </w:t>
      </w:r>
      <w:r w:rsidR="00E7454A">
        <w:rPr>
          <w:rFonts w:asciiTheme="minorHAnsi" w:hAnsiTheme="minorHAnsi" w:cs="Times New Roman"/>
          <w:color w:val="auto"/>
          <w:sz w:val="24"/>
          <w:szCs w:val="24"/>
        </w:rPr>
        <w:t>120</w:t>
      </w:r>
      <w:r w:rsidRPr="00055A75">
        <w:rPr>
          <w:rFonts w:asciiTheme="minorHAnsi" w:hAnsiTheme="minorHAnsi" w:cs="Times New Roman"/>
          <w:color w:val="auto"/>
          <w:sz w:val="24"/>
          <w:szCs w:val="24"/>
        </w:rPr>
        <w:t xml:space="preserve"> </w:t>
      </w:r>
      <w:r w:rsidRPr="00405D3C">
        <w:rPr>
          <w:rFonts w:asciiTheme="minorHAnsi" w:hAnsiTheme="minorHAnsi" w:cs="Times New Roman"/>
          <w:color w:val="auto"/>
          <w:sz w:val="24"/>
          <w:szCs w:val="24"/>
        </w:rPr>
        <w:t>z</w:t>
      </w:r>
      <w:r w:rsidR="00E74323" w:rsidRPr="00405D3C">
        <w:rPr>
          <w:rFonts w:asciiTheme="minorHAnsi" w:hAnsiTheme="minorHAnsi" w:cs="Times New Roman"/>
          <w:color w:val="auto"/>
          <w:sz w:val="24"/>
          <w:szCs w:val="24"/>
        </w:rPr>
        <w:t xml:space="preserve"> późn.</w:t>
      </w:r>
      <w:r w:rsidRPr="00405D3C">
        <w:rPr>
          <w:rFonts w:asciiTheme="minorHAnsi" w:hAnsiTheme="minorHAnsi" w:cs="Times New Roman"/>
          <w:color w:val="auto"/>
          <w:sz w:val="24"/>
          <w:szCs w:val="24"/>
        </w:rPr>
        <w:t xml:space="preserve"> zm.) zarządzam, co następuje:</w:t>
      </w:r>
    </w:p>
    <w:p w:rsidR="00625FBC" w:rsidRPr="00143DE5" w:rsidRDefault="00625FBC" w:rsidP="00625FBC">
      <w:pPr>
        <w:pStyle w:val="Zal-text"/>
        <w:spacing w:line="240" w:lineRule="auto"/>
        <w:rPr>
          <w:rFonts w:asciiTheme="minorHAnsi" w:hAnsiTheme="minorHAnsi" w:cs="Times New Roman"/>
          <w:color w:val="FF0000"/>
          <w:sz w:val="24"/>
          <w:szCs w:val="24"/>
        </w:rPr>
      </w:pPr>
    </w:p>
    <w:p w:rsidR="00374740" w:rsidRDefault="00546B3C" w:rsidP="00625FBC">
      <w:pPr>
        <w:pStyle w:val="Zal-text"/>
        <w:spacing w:line="240" w:lineRule="auto"/>
        <w:rPr>
          <w:rFonts w:asciiTheme="minorHAnsi" w:hAnsiTheme="minorHAnsi" w:cs="Times New Roman"/>
          <w:color w:val="auto"/>
          <w:sz w:val="24"/>
          <w:szCs w:val="24"/>
        </w:rPr>
      </w:pPr>
      <w:r w:rsidRPr="005A5948">
        <w:rPr>
          <w:rFonts w:asciiTheme="minorHAnsi" w:hAnsiTheme="minorHAnsi" w:cs="Times New Roman"/>
          <w:color w:val="auto"/>
          <w:sz w:val="24"/>
          <w:szCs w:val="24"/>
        </w:rPr>
        <w:t>§ 1. </w:t>
      </w:r>
      <w:r w:rsidR="006D32D2" w:rsidRPr="005A5948">
        <w:rPr>
          <w:rFonts w:asciiTheme="minorHAnsi" w:hAnsiTheme="minorHAnsi" w:cs="Times New Roman"/>
          <w:color w:val="auto"/>
          <w:sz w:val="24"/>
          <w:szCs w:val="24"/>
        </w:rPr>
        <w:t>W</w:t>
      </w:r>
      <w:r w:rsidR="00175C99" w:rsidRPr="005A5948">
        <w:rPr>
          <w:rFonts w:asciiTheme="minorHAnsi" w:hAnsiTheme="minorHAnsi" w:cs="Times New Roman"/>
          <w:color w:val="auto"/>
          <w:sz w:val="24"/>
          <w:szCs w:val="24"/>
        </w:rPr>
        <w:t xml:space="preserve"> Instrukcji Zasad (Polityki) Rachunkowości stanowiącej załącznik do</w:t>
      </w:r>
      <w:r w:rsidR="00695F42">
        <w:rPr>
          <w:rFonts w:asciiTheme="minorHAnsi" w:hAnsiTheme="minorHAnsi" w:cs="Times New Roman"/>
          <w:color w:val="auto"/>
          <w:sz w:val="24"/>
          <w:szCs w:val="24"/>
        </w:rPr>
        <w:t xml:space="preserve"> Zarządzenia</w:t>
      </w:r>
      <w:r w:rsidR="006D32D2" w:rsidRPr="005A5948">
        <w:rPr>
          <w:rFonts w:asciiTheme="minorHAnsi" w:hAnsiTheme="minorHAnsi" w:cs="Times New Roman"/>
          <w:color w:val="auto"/>
          <w:sz w:val="24"/>
          <w:szCs w:val="24"/>
        </w:rPr>
        <w:t xml:space="preserve"> </w:t>
      </w:r>
      <w:r w:rsidR="00175C99" w:rsidRPr="005A5948">
        <w:rPr>
          <w:rFonts w:asciiTheme="minorHAnsi" w:hAnsiTheme="minorHAnsi" w:cs="Times New Roman"/>
          <w:color w:val="auto"/>
          <w:sz w:val="24"/>
          <w:szCs w:val="24"/>
        </w:rPr>
        <w:br/>
      </w:r>
      <w:r w:rsidR="00AA5074" w:rsidRPr="005A5948">
        <w:rPr>
          <w:rFonts w:asciiTheme="minorHAnsi" w:hAnsiTheme="minorHAnsi" w:cs="Times New Roman"/>
          <w:color w:val="auto"/>
          <w:sz w:val="24"/>
          <w:szCs w:val="24"/>
        </w:rPr>
        <w:t>nr 21/2023</w:t>
      </w:r>
      <w:r w:rsidR="006D32D2" w:rsidRPr="005A5948">
        <w:rPr>
          <w:rFonts w:asciiTheme="minorHAnsi" w:hAnsiTheme="minorHAnsi" w:cs="Times New Roman"/>
          <w:color w:val="auto"/>
          <w:sz w:val="24"/>
          <w:szCs w:val="24"/>
        </w:rPr>
        <w:t xml:space="preserve"> Starosty Jaroci</w:t>
      </w:r>
      <w:r w:rsidR="00AA5074" w:rsidRPr="005A5948">
        <w:rPr>
          <w:rFonts w:asciiTheme="minorHAnsi" w:hAnsiTheme="minorHAnsi" w:cs="Times New Roman"/>
          <w:color w:val="auto"/>
          <w:sz w:val="24"/>
          <w:szCs w:val="24"/>
        </w:rPr>
        <w:t>ńskiego z dnia 23 lutego 2023r</w:t>
      </w:r>
      <w:r w:rsidR="006D32D2" w:rsidRPr="005A5948">
        <w:rPr>
          <w:rFonts w:asciiTheme="minorHAnsi" w:hAnsiTheme="minorHAnsi" w:cs="Times New Roman"/>
          <w:color w:val="auto"/>
          <w:sz w:val="24"/>
          <w:szCs w:val="24"/>
        </w:rPr>
        <w:t>. w sprawie wprowadzenia instrukcji</w:t>
      </w:r>
      <w:r w:rsidR="00220DBF" w:rsidRPr="005A5948">
        <w:rPr>
          <w:rFonts w:asciiTheme="minorHAnsi" w:hAnsiTheme="minorHAnsi" w:cs="Times New Roman"/>
          <w:color w:val="auto"/>
          <w:sz w:val="24"/>
          <w:szCs w:val="24"/>
        </w:rPr>
        <w:t xml:space="preserve"> zasad (polityki) rachunkowości</w:t>
      </w:r>
      <w:r w:rsidR="006D32D2" w:rsidRPr="005A5948">
        <w:rPr>
          <w:rFonts w:asciiTheme="minorHAnsi" w:hAnsiTheme="minorHAnsi" w:cs="Times New Roman"/>
          <w:color w:val="auto"/>
          <w:sz w:val="24"/>
          <w:szCs w:val="24"/>
        </w:rPr>
        <w:t>,</w:t>
      </w:r>
      <w:r w:rsidR="00374740">
        <w:rPr>
          <w:rFonts w:asciiTheme="minorHAnsi" w:hAnsiTheme="minorHAnsi" w:cs="Times New Roman"/>
          <w:color w:val="auto"/>
          <w:sz w:val="24"/>
          <w:szCs w:val="24"/>
        </w:rPr>
        <w:t xml:space="preserve"> zmienionej zarządzeniem:</w:t>
      </w:r>
    </w:p>
    <w:p w:rsidR="00374740" w:rsidRDefault="00374740" w:rsidP="00625FBC">
      <w:pPr>
        <w:pStyle w:val="Zal-text"/>
        <w:spacing w:line="240" w:lineRule="auto"/>
        <w:rPr>
          <w:rFonts w:asciiTheme="minorHAnsi" w:hAnsiTheme="minorHAnsi" w:cs="Times New Roman"/>
          <w:color w:val="auto"/>
          <w:sz w:val="24"/>
          <w:szCs w:val="24"/>
        </w:rPr>
      </w:pPr>
      <w:r>
        <w:rPr>
          <w:rFonts w:asciiTheme="minorHAnsi" w:hAnsiTheme="minorHAnsi" w:cs="Times New Roman"/>
          <w:color w:val="auto"/>
          <w:sz w:val="24"/>
          <w:szCs w:val="24"/>
        </w:rPr>
        <w:t>- nr 99/2023 Starosty Jarocińs</w:t>
      </w:r>
      <w:r w:rsidR="00E61E0E">
        <w:rPr>
          <w:rFonts w:asciiTheme="minorHAnsi" w:hAnsiTheme="minorHAnsi" w:cs="Times New Roman"/>
          <w:color w:val="auto"/>
          <w:sz w:val="24"/>
          <w:szCs w:val="24"/>
        </w:rPr>
        <w:t>kiego z dnia 29 grudnia 2023r.;</w:t>
      </w:r>
    </w:p>
    <w:p w:rsidR="00E61E0E" w:rsidRDefault="00E61E0E" w:rsidP="00625FBC">
      <w:pPr>
        <w:pStyle w:val="Zal-text"/>
        <w:spacing w:line="240" w:lineRule="auto"/>
        <w:rPr>
          <w:rFonts w:asciiTheme="minorHAnsi" w:hAnsiTheme="minorHAnsi" w:cs="Times New Roman"/>
          <w:color w:val="auto"/>
          <w:sz w:val="24"/>
          <w:szCs w:val="24"/>
        </w:rPr>
      </w:pPr>
      <w:r>
        <w:rPr>
          <w:rFonts w:asciiTheme="minorHAnsi" w:hAnsiTheme="minorHAnsi" w:cs="Times New Roman"/>
          <w:color w:val="auto"/>
          <w:sz w:val="24"/>
          <w:szCs w:val="24"/>
        </w:rPr>
        <w:t>- nr 60/2024 Starosty Jarocińskiego z dnia 02 września 2024 r.</w:t>
      </w:r>
    </w:p>
    <w:p w:rsidR="00E61E0E" w:rsidRDefault="00E61E0E" w:rsidP="00625FBC">
      <w:pPr>
        <w:pStyle w:val="Zal-text"/>
        <w:spacing w:line="240" w:lineRule="auto"/>
        <w:rPr>
          <w:rFonts w:asciiTheme="minorHAnsi" w:hAnsiTheme="minorHAnsi" w:cs="Times New Roman"/>
          <w:color w:val="auto"/>
          <w:sz w:val="24"/>
          <w:szCs w:val="24"/>
        </w:rPr>
      </w:pPr>
    </w:p>
    <w:p w:rsidR="005C6506" w:rsidRPr="00E530B3" w:rsidRDefault="00E530B3" w:rsidP="00F37B9B">
      <w:pPr>
        <w:pStyle w:val="Zal-text"/>
        <w:spacing w:line="240" w:lineRule="auto"/>
        <w:rPr>
          <w:rFonts w:cs="Times New Roman"/>
          <w:color w:val="auto"/>
          <w:sz w:val="24"/>
          <w:szCs w:val="24"/>
        </w:rPr>
      </w:pPr>
      <w:r w:rsidRPr="00E530B3">
        <w:rPr>
          <w:rFonts w:asciiTheme="minorHAnsi" w:hAnsiTheme="minorHAnsi" w:cs="Times New Roman"/>
          <w:color w:val="auto"/>
          <w:sz w:val="24"/>
          <w:szCs w:val="24"/>
        </w:rPr>
        <w:t xml:space="preserve">Załącznik </w:t>
      </w:r>
      <w:r w:rsidR="00E61E0E" w:rsidRPr="00E530B3">
        <w:rPr>
          <w:rFonts w:asciiTheme="minorHAnsi" w:hAnsiTheme="minorHAnsi" w:cs="Times New Roman"/>
          <w:color w:val="auto"/>
          <w:sz w:val="24"/>
          <w:szCs w:val="24"/>
        </w:rPr>
        <w:t xml:space="preserve"> nr 6, o których mowa w § 12</w:t>
      </w:r>
      <w:r w:rsidR="00F37B9B" w:rsidRPr="00E530B3">
        <w:rPr>
          <w:rFonts w:asciiTheme="minorHAnsi" w:hAnsiTheme="minorHAnsi" w:cs="Times New Roman"/>
          <w:color w:val="auto"/>
          <w:sz w:val="24"/>
          <w:szCs w:val="24"/>
        </w:rPr>
        <w:t xml:space="preserve"> ust.</w:t>
      </w:r>
      <w:r w:rsidR="00E61E0E" w:rsidRPr="00E530B3">
        <w:rPr>
          <w:rFonts w:asciiTheme="minorHAnsi" w:hAnsiTheme="minorHAnsi" w:cs="Times New Roman"/>
          <w:color w:val="auto"/>
          <w:sz w:val="24"/>
          <w:szCs w:val="24"/>
        </w:rPr>
        <w:t xml:space="preserve"> 2 otrzymują</w:t>
      </w:r>
      <w:r w:rsidR="00F37B9B" w:rsidRPr="00E530B3">
        <w:rPr>
          <w:rFonts w:asciiTheme="minorHAnsi" w:hAnsiTheme="minorHAnsi" w:cs="Times New Roman"/>
          <w:color w:val="auto"/>
          <w:sz w:val="24"/>
          <w:szCs w:val="24"/>
        </w:rPr>
        <w:t xml:space="preserve"> </w:t>
      </w:r>
      <w:r w:rsidRPr="00E530B3">
        <w:rPr>
          <w:rFonts w:asciiTheme="minorHAnsi" w:hAnsiTheme="minorHAnsi" w:cs="Times New Roman"/>
          <w:color w:val="auto"/>
          <w:sz w:val="24"/>
          <w:szCs w:val="24"/>
        </w:rPr>
        <w:t xml:space="preserve">brzmienie zgodnie z załącznikiem </w:t>
      </w:r>
      <w:r w:rsidR="00F37B9B" w:rsidRPr="00E530B3">
        <w:rPr>
          <w:rFonts w:asciiTheme="minorHAnsi" w:hAnsiTheme="minorHAnsi" w:cs="Times New Roman"/>
          <w:color w:val="auto"/>
          <w:sz w:val="24"/>
          <w:szCs w:val="24"/>
        </w:rPr>
        <w:t>do niniejszego Zarządzenia</w:t>
      </w:r>
    </w:p>
    <w:p w:rsidR="005C6506" w:rsidRPr="00E96B88" w:rsidRDefault="005C6506" w:rsidP="005C6506">
      <w:pPr>
        <w:pStyle w:val="Akapitzlist"/>
        <w:ind w:left="360" w:firstLine="0"/>
        <w:jc w:val="both"/>
        <w:rPr>
          <w:rFonts w:cs="Times New Roman"/>
          <w:sz w:val="24"/>
          <w:szCs w:val="24"/>
        </w:rPr>
      </w:pPr>
    </w:p>
    <w:p w:rsidR="005C6506" w:rsidRPr="00E96B88" w:rsidRDefault="005C6506" w:rsidP="00374740">
      <w:pPr>
        <w:spacing w:after="0" w:line="240" w:lineRule="auto"/>
        <w:ind w:firstLine="0"/>
        <w:jc w:val="both"/>
        <w:rPr>
          <w:rFonts w:cs="Times New Roman"/>
          <w:sz w:val="24"/>
          <w:szCs w:val="24"/>
        </w:rPr>
      </w:pPr>
      <w:r w:rsidRPr="00E96B88">
        <w:rPr>
          <w:rFonts w:cs="Times New Roman"/>
          <w:sz w:val="24"/>
          <w:szCs w:val="24"/>
        </w:rPr>
        <w:t>§ 2.Zarządzenie wchodzi w życie z dniem podpisania.</w:t>
      </w:r>
    </w:p>
    <w:p w:rsidR="005C6506" w:rsidRPr="00E96B88" w:rsidRDefault="005C6506" w:rsidP="005C6506">
      <w:pPr>
        <w:spacing w:after="0" w:line="240" w:lineRule="auto"/>
        <w:jc w:val="both"/>
        <w:rPr>
          <w:rFonts w:cs="Times New Roman"/>
          <w:sz w:val="24"/>
          <w:szCs w:val="24"/>
        </w:rPr>
      </w:pPr>
    </w:p>
    <w:p w:rsidR="005C6506" w:rsidRPr="00AA5074" w:rsidRDefault="005C6506" w:rsidP="005C6506">
      <w:pPr>
        <w:spacing w:after="0" w:line="240" w:lineRule="auto"/>
        <w:jc w:val="both"/>
        <w:rPr>
          <w:rFonts w:cs="Times New Roman"/>
          <w:color w:val="FF0000"/>
          <w:sz w:val="24"/>
          <w:szCs w:val="24"/>
        </w:rPr>
      </w:pPr>
    </w:p>
    <w:p w:rsidR="005C6506" w:rsidRPr="00AA5074" w:rsidRDefault="005C6506" w:rsidP="005C6506">
      <w:pPr>
        <w:spacing w:after="0" w:line="240" w:lineRule="auto"/>
        <w:jc w:val="both"/>
        <w:rPr>
          <w:rFonts w:cs="Times New Roman"/>
          <w:color w:val="FF0000"/>
          <w:sz w:val="24"/>
          <w:szCs w:val="24"/>
        </w:rPr>
      </w:pPr>
    </w:p>
    <w:p w:rsidR="005C6506" w:rsidRPr="00AA5074" w:rsidRDefault="005C6506" w:rsidP="005C6506">
      <w:pPr>
        <w:spacing w:after="0" w:line="240" w:lineRule="auto"/>
        <w:jc w:val="both"/>
        <w:rPr>
          <w:rFonts w:cs="Times New Roman"/>
          <w:color w:val="FF0000"/>
          <w:sz w:val="24"/>
          <w:szCs w:val="24"/>
        </w:rPr>
      </w:pPr>
    </w:p>
    <w:p w:rsidR="005C6506" w:rsidRPr="00AA5074" w:rsidRDefault="005C6506" w:rsidP="005C6506">
      <w:pPr>
        <w:spacing w:after="0" w:line="240" w:lineRule="auto"/>
        <w:jc w:val="both"/>
        <w:rPr>
          <w:rFonts w:cs="Times New Roman"/>
          <w:color w:val="FF0000"/>
          <w:sz w:val="24"/>
          <w:szCs w:val="24"/>
        </w:rPr>
      </w:pPr>
    </w:p>
    <w:p w:rsidR="005C6506" w:rsidRPr="00AA5074" w:rsidRDefault="005C6506" w:rsidP="005C6506">
      <w:pPr>
        <w:spacing w:after="0" w:line="240" w:lineRule="auto"/>
        <w:jc w:val="both"/>
        <w:rPr>
          <w:rFonts w:cs="Times New Roman"/>
          <w:color w:val="FF0000"/>
          <w:sz w:val="24"/>
          <w:szCs w:val="24"/>
        </w:rPr>
      </w:pPr>
    </w:p>
    <w:p w:rsidR="005C6506" w:rsidRDefault="005C6506"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F37B9B" w:rsidRDefault="00F37B9B" w:rsidP="005C6506">
      <w:pPr>
        <w:spacing w:after="0" w:line="240" w:lineRule="auto"/>
        <w:jc w:val="both"/>
        <w:rPr>
          <w:rFonts w:cs="Times New Roman"/>
          <w:color w:val="FF0000"/>
          <w:sz w:val="24"/>
          <w:szCs w:val="24"/>
        </w:rPr>
      </w:pPr>
    </w:p>
    <w:p w:rsidR="00A1511B" w:rsidRDefault="00A1511B" w:rsidP="005C6506">
      <w:pPr>
        <w:spacing w:after="0" w:line="240" w:lineRule="auto"/>
        <w:jc w:val="both"/>
        <w:rPr>
          <w:rFonts w:cs="Times New Roman"/>
          <w:color w:val="FF0000"/>
          <w:sz w:val="24"/>
          <w:szCs w:val="24"/>
        </w:rPr>
      </w:pPr>
    </w:p>
    <w:p w:rsidR="00F37B9B" w:rsidRPr="00AA5074" w:rsidRDefault="00F37B9B" w:rsidP="005C6506">
      <w:pPr>
        <w:spacing w:after="0" w:line="240" w:lineRule="auto"/>
        <w:jc w:val="both"/>
        <w:rPr>
          <w:rFonts w:cs="Times New Roman"/>
          <w:color w:val="FF0000"/>
          <w:sz w:val="24"/>
          <w:szCs w:val="24"/>
        </w:rPr>
      </w:pPr>
    </w:p>
    <w:p w:rsidR="007314CE" w:rsidRPr="00E46415" w:rsidRDefault="007314CE" w:rsidP="007314CE">
      <w:pPr>
        <w:pStyle w:val="Zal-text"/>
        <w:spacing w:before="0" w:after="0" w:line="240" w:lineRule="auto"/>
        <w:ind w:left="6299"/>
        <w:rPr>
          <w:rFonts w:asciiTheme="minorHAnsi" w:hAnsiTheme="minorHAnsi" w:cs="Times New Roman"/>
          <w:color w:val="auto"/>
          <w:sz w:val="24"/>
          <w:szCs w:val="24"/>
        </w:rPr>
      </w:pPr>
      <w:r w:rsidRPr="00E46415">
        <w:rPr>
          <w:rFonts w:asciiTheme="minorHAnsi" w:hAnsiTheme="minorHAnsi" w:cs="Times New Roman"/>
          <w:color w:val="auto"/>
          <w:sz w:val="24"/>
          <w:szCs w:val="24"/>
        </w:rPr>
        <w:lastRenderedPageBreak/>
        <w:t>Załącznik nr 6</w:t>
      </w:r>
    </w:p>
    <w:p w:rsidR="007314CE" w:rsidRPr="00E46415" w:rsidRDefault="007314CE" w:rsidP="007314CE">
      <w:pPr>
        <w:pStyle w:val="Zal-text"/>
        <w:spacing w:before="0" w:after="0" w:line="240" w:lineRule="auto"/>
        <w:ind w:left="6299"/>
        <w:rPr>
          <w:rFonts w:asciiTheme="minorHAnsi" w:hAnsiTheme="minorHAnsi" w:cs="Times New Roman"/>
          <w:color w:val="auto"/>
          <w:sz w:val="24"/>
          <w:szCs w:val="24"/>
        </w:rPr>
      </w:pPr>
      <w:r w:rsidRPr="00E46415">
        <w:rPr>
          <w:rFonts w:asciiTheme="minorHAnsi" w:hAnsiTheme="minorHAnsi" w:cs="Times New Roman"/>
          <w:color w:val="auto"/>
          <w:sz w:val="24"/>
          <w:szCs w:val="24"/>
        </w:rPr>
        <w:t>do Instrukcji zasad (polityki) rachunkowości</w:t>
      </w:r>
    </w:p>
    <w:p w:rsidR="007314CE" w:rsidRPr="00E46415" w:rsidRDefault="007314CE" w:rsidP="007314CE">
      <w:pPr>
        <w:pStyle w:val="Zal-text"/>
        <w:spacing w:before="0" w:after="0" w:line="240" w:lineRule="auto"/>
        <w:ind w:left="6299"/>
        <w:rPr>
          <w:rFonts w:asciiTheme="minorHAnsi" w:hAnsiTheme="minorHAnsi" w:cs="Times New Roman"/>
          <w:color w:val="auto"/>
          <w:sz w:val="24"/>
          <w:szCs w:val="24"/>
        </w:rPr>
      </w:pPr>
    </w:p>
    <w:p w:rsidR="007314CE" w:rsidRPr="00E46415" w:rsidRDefault="007314CE" w:rsidP="007314CE">
      <w:pPr>
        <w:pStyle w:val="Zal-text"/>
        <w:spacing w:before="0" w:after="0" w:line="240" w:lineRule="auto"/>
        <w:ind w:left="6299"/>
        <w:rPr>
          <w:rFonts w:asciiTheme="minorHAnsi" w:hAnsiTheme="minorHAnsi" w:cs="Times New Roman"/>
          <w:color w:val="auto"/>
          <w:sz w:val="24"/>
          <w:szCs w:val="24"/>
        </w:rPr>
      </w:pPr>
    </w:p>
    <w:p w:rsidR="007314CE" w:rsidRPr="00E46415" w:rsidRDefault="007314CE" w:rsidP="007314CE">
      <w:pPr>
        <w:ind w:left="720"/>
        <w:jc w:val="center"/>
        <w:rPr>
          <w:rFonts w:cs="Times New Roman"/>
          <w:b/>
          <w:sz w:val="28"/>
          <w:szCs w:val="28"/>
        </w:rPr>
      </w:pPr>
      <w:r w:rsidRPr="00E46415">
        <w:rPr>
          <w:rFonts w:cs="Times New Roman"/>
          <w:b/>
          <w:sz w:val="28"/>
          <w:szCs w:val="28"/>
        </w:rPr>
        <w:t>Wykaz kont dla Starostwa Powiatowego</w:t>
      </w:r>
    </w:p>
    <w:p w:rsidR="007314CE" w:rsidRPr="00E46415" w:rsidRDefault="007314CE" w:rsidP="007314CE">
      <w:pPr>
        <w:ind w:left="720"/>
        <w:jc w:val="right"/>
        <w:rPr>
          <w:rFonts w:cs="Times New Roman"/>
          <w:i/>
          <w:sz w:val="20"/>
          <w:szCs w:val="20"/>
        </w:rPr>
      </w:pPr>
    </w:p>
    <w:tbl>
      <w:tblPr>
        <w:tblW w:w="8669"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992"/>
        <w:gridCol w:w="1776"/>
        <w:gridCol w:w="3119"/>
        <w:gridCol w:w="1837"/>
      </w:tblGrid>
      <w:tr w:rsidR="007314CE" w:rsidRPr="00E46415" w:rsidTr="00C46623">
        <w:trPr>
          <w:trHeight w:val="543"/>
        </w:trPr>
        <w:tc>
          <w:tcPr>
            <w:tcW w:w="945" w:type="dxa"/>
          </w:tcPr>
          <w:p w:rsidR="007314CE" w:rsidRPr="00E46415" w:rsidRDefault="007314CE" w:rsidP="00C46623">
            <w:pPr>
              <w:ind w:firstLine="0"/>
              <w:jc w:val="center"/>
              <w:rPr>
                <w:rFonts w:cs="Times New Roman"/>
                <w:sz w:val="24"/>
                <w:szCs w:val="24"/>
              </w:rPr>
            </w:pPr>
            <w:r w:rsidRPr="00E46415">
              <w:rPr>
                <w:rFonts w:cs="Times New Roman"/>
                <w:sz w:val="24"/>
                <w:szCs w:val="24"/>
              </w:rPr>
              <w:t>Zespół</w:t>
            </w:r>
          </w:p>
        </w:tc>
        <w:tc>
          <w:tcPr>
            <w:tcW w:w="992" w:type="dxa"/>
          </w:tcPr>
          <w:p w:rsidR="007314CE" w:rsidRPr="00E46415" w:rsidRDefault="007314CE" w:rsidP="00C46623">
            <w:pPr>
              <w:ind w:left="5" w:right="-3" w:firstLine="0"/>
              <w:jc w:val="center"/>
              <w:rPr>
                <w:rFonts w:cs="Times New Roman"/>
                <w:sz w:val="24"/>
                <w:szCs w:val="24"/>
              </w:rPr>
            </w:pPr>
            <w:r w:rsidRPr="00E46415">
              <w:rPr>
                <w:rFonts w:cs="Times New Roman"/>
                <w:sz w:val="24"/>
                <w:szCs w:val="24"/>
              </w:rPr>
              <w:t>Numer konta</w:t>
            </w:r>
          </w:p>
          <w:p w:rsidR="007314CE" w:rsidRPr="00E46415" w:rsidRDefault="007314CE" w:rsidP="00C46623">
            <w:pPr>
              <w:ind w:left="5" w:right="-3" w:firstLine="0"/>
              <w:jc w:val="center"/>
              <w:rPr>
                <w:rFonts w:cs="Times New Roman"/>
                <w:sz w:val="24"/>
                <w:szCs w:val="24"/>
              </w:rPr>
            </w:pPr>
          </w:p>
        </w:tc>
        <w:tc>
          <w:tcPr>
            <w:tcW w:w="1776" w:type="dxa"/>
          </w:tcPr>
          <w:p w:rsidR="007314CE" w:rsidRPr="00E46415" w:rsidRDefault="007314CE" w:rsidP="00C46623">
            <w:pPr>
              <w:ind w:firstLine="0"/>
              <w:jc w:val="center"/>
              <w:rPr>
                <w:rFonts w:cs="Times New Roman"/>
                <w:sz w:val="24"/>
                <w:szCs w:val="24"/>
              </w:rPr>
            </w:pPr>
            <w:r w:rsidRPr="00E46415">
              <w:rPr>
                <w:rFonts w:cs="Times New Roman"/>
                <w:sz w:val="24"/>
                <w:szCs w:val="24"/>
              </w:rPr>
              <w:t>Nazwa konta</w:t>
            </w:r>
          </w:p>
          <w:p w:rsidR="007314CE" w:rsidRPr="00E46415" w:rsidRDefault="007314CE" w:rsidP="00C46623">
            <w:pPr>
              <w:ind w:firstLine="0"/>
              <w:jc w:val="center"/>
              <w:rPr>
                <w:rFonts w:cs="Times New Roman"/>
                <w:sz w:val="24"/>
                <w:szCs w:val="24"/>
              </w:rPr>
            </w:pPr>
          </w:p>
        </w:tc>
        <w:tc>
          <w:tcPr>
            <w:tcW w:w="3119" w:type="dxa"/>
          </w:tcPr>
          <w:p w:rsidR="007314CE" w:rsidRPr="00E46415" w:rsidRDefault="007314CE" w:rsidP="00C46623">
            <w:pPr>
              <w:ind w:firstLine="0"/>
              <w:jc w:val="center"/>
              <w:rPr>
                <w:rFonts w:cs="Times New Roman"/>
                <w:sz w:val="24"/>
                <w:szCs w:val="24"/>
              </w:rPr>
            </w:pPr>
            <w:r w:rsidRPr="00E46415">
              <w:rPr>
                <w:rFonts w:cs="Times New Roman"/>
                <w:sz w:val="24"/>
                <w:szCs w:val="24"/>
              </w:rPr>
              <w:t>Zasady klasyfikacji zdarzeń</w:t>
            </w:r>
          </w:p>
        </w:tc>
        <w:tc>
          <w:tcPr>
            <w:tcW w:w="1837" w:type="dxa"/>
          </w:tcPr>
          <w:p w:rsidR="007314CE" w:rsidRPr="00E46415" w:rsidRDefault="007314CE" w:rsidP="00C46623">
            <w:pPr>
              <w:ind w:firstLine="0"/>
              <w:jc w:val="center"/>
              <w:rPr>
                <w:rFonts w:cs="Times New Roman"/>
                <w:sz w:val="24"/>
                <w:szCs w:val="24"/>
              </w:rPr>
            </w:pPr>
            <w:r w:rsidRPr="00E46415">
              <w:rPr>
                <w:rFonts w:cs="Times New Roman"/>
                <w:sz w:val="24"/>
                <w:szCs w:val="24"/>
              </w:rPr>
              <w:t>Uwagi</w:t>
            </w:r>
          </w:p>
          <w:p w:rsidR="007314CE" w:rsidRPr="00E46415" w:rsidRDefault="007314CE" w:rsidP="00C46623">
            <w:pPr>
              <w:ind w:firstLine="0"/>
              <w:jc w:val="center"/>
              <w:rPr>
                <w:rFonts w:cs="Times New Roman"/>
                <w:sz w:val="24"/>
                <w:szCs w:val="24"/>
              </w:rPr>
            </w:pPr>
          </w:p>
        </w:tc>
      </w:tr>
      <w:tr w:rsidR="007314CE" w:rsidRPr="00E46415" w:rsidTr="00C46623">
        <w:trPr>
          <w:trHeight w:val="366"/>
        </w:trPr>
        <w:tc>
          <w:tcPr>
            <w:tcW w:w="945" w:type="dxa"/>
          </w:tcPr>
          <w:p w:rsidR="007314CE" w:rsidRPr="00E46415" w:rsidRDefault="007314CE" w:rsidP="00C46623">
            <w:pPr>
              <w:ind w:firstLine="0"/>
              <w:jc w:val="center"/>
              <w:rPr>
                <w:rFonts w:cs="Times New Roman"/>
              </w:rPr>
            </w:pPr>
            <w:r w:rsidRPr="00E46415">
              <w:rPr>
                <w:rFonts w:cs="Times New Roman"/>
              </w:rPr>
              <w:t>1</w:t>
            </w:r>
          </w:p>
        </w:tc>
        <w:tc>
          <w:tcPr>
            <w:tcW w:w="992" w:type="dxa"/>
          </w:tcPr>
          <w:p w:rsidR="007314CE" w:rsidRPr="00E46415" w:rsidRDefault="007314CE" w:rsidP="00C46623">
            <w:pPr>
              <w:ind w:left="5" w:right="-3" w:firstLine="0"/>
              <w:jc w:val="center"/>
              <w:rPr>
                <w:rFonts w:cs="Times New Roman"/>
              </w:rPr>
            </w:pPr>
            <w:r w:rsidRPr="00E46415">
              <w:rPr>
                <w:rFonts w:cs="Times New Roman"/>
              </w:rPr>
              <w:t>2</w:t>
            </w:r>
          </w:p>
        </w:tc>
        <w:tc>
          <w:tcPr>
            <w:tcW w:w="1776" w:type="dxa"/>
          </w:tcPr>
          <w:p w:rsidR="007314CE" w:rsidRPr="00E46415" w:rsidRDefault="007314CE" w:rsidP="00C46623">
            <w:pPr>
              <w:ind w:firstLine="0"/>
              <w:jc w:val="center"/>
              <w:rPr>
                <w:rFonts w:cs="Times New Roman"/>
              </w:rPr>
            </w:pPr>
            <w:r w:rsidRPr="00E46415">
              <w:rPr>
                <w:rFonts w:cs="Times New Roman"/>
              </w:rPr>
              <w:t>3</w:t>
            </w:r>
          </w:p>
        </w:tc>
        <w:tc>
          <w:tcPr>
            <w:tcW w:w="3119" w:type="dxa"/>
          </w:tcPr>
          <w:p w:rsidR="007314CE" w:rsidRPr="00E46415" w:rsidRDefault="007314CE" w:rsidP="00C46623">
            <w:pPr>
              <w:ind w:firstLine="0"/>
              <w:jc w:val="center"/>
              <w:rPr>
                <w:rFonts w:cs="Times New Roman"/>
              </w:rPr>
            </w:pPr>
            <w:r w:rsidRPr="00E46415">
              <w:rPr>
                <w:rFonts w:cs="Times New Roman"/>
              </w:rPr>
              <w:t>4</w:t>
            </w:r>
          </w:p>
        </w:tc>
        <w:tc>
          <w:tcPr>
            <w:tcW w:w="1837" w:type="dxa"/>
          </w:tcPr>
          <w:p w:rsidR="007314CE" w:rsidRPr="00E46415" w:rsidRDefault="007314CE" w:rsidP="00C46623">
            <w:pPr>
              <w:ind w:firstLine="0"/>
              <w:jc w:val="center"/>
              <w:rPr>
                <w:rFonts w:cs="Times New Roman"/>
              </w:rPr>
            </w:pPr>
            <w:r w:rsidRPr="00E46415">
              <w:rPr>
                <w:rFonts w:cs="Times New Roman"/>
              </w:rPr>
              <w:t>5</w:t>
            </w:r>
          </w:p>
        </w:tc>
      </w:tr>
      <w:tr w:rsidR="007314CE" w:rsidRPr="00E46415" w:rsidTr="00C46623">
        <w:trPr>
          <w:trHeight w:val="366"/>
        </w:trPr>
        <w:tc>
          <w:tcPr>
            <w:tcW w:w="945" w:type="dxa"/>
          </w:tcPr>
          <w:p w:rsidR="007314CE" w:rsidRPr="00E46415" w:rsidRDefault="007314CE" w:rsidP="00C46623">
            <w:pPr>
              <w:ind w:firstLine="0"/>
              <w:jc w:val="center"/>
              <w:rPr>
                <w:rFonts w:cs="Times New Roman"/>
                <w:b/>
                <w:sz w:val="28"/>
                <w:szCs w:val="28"/>
              </w:rPr>
            </w:pPr>
            <w:r w:rsidRPr="00E46415">
              <w:rPr>
                <w:rFonts w:cs="Times New Roman"/>
                <w:b/>
                <w:sz w:val="28"/>
                <w:szCs w:val="28"/>
              </w:rPr>
              <w:t>0</w:t>
            </w:r>
          </w:p>
        </w:tc>
        <w:tc>
          <w:tcPr>
            <w:tcW w:w="7724" w:type="dxa"/>
            <w:gridSpan w:val="4"/>
          </w:tcPr>
          <w:p w:rsidR="007314CE" w:rsidRPr="00E46415" w:rsidRDefault="007314CE" w:rsidP="00C46623">
            <w:pPr>
              <w:ind w:firstLine="0"/>
              <w:jc w:val="center"/>
              <w:rPr>
                <w:rFonts w:cs="Times New Roman"/>
                <w:sz w:val="20"/>
                <w:szCs w:val="20"/>
              </w:rPr>
            </w:pPr>
            <w:r w:rsidRPr="00E46415">
              <w:rPr>
                <w:rFonts w:cs="Times New Roman"/>
                <w:b/>
                <w:sz w:val="28"/>
                <w:szCs w:val="28"/>
              </w:rPr>
              <w:t>Majątek  trwały</w:t>
            </w:r>
          </w:p>
        </w:tc>
      </w:tr>
      <w:tr w:rsidR="007314CE" w:rsidRPr="00E46415" w:rsidTr="00C46623">
        <w:trPr>
          <w:trHeight w:val="366"/>
        </w:trPr>
        <w:tc>
          <w:tcPr>
            <w:tcW w:w="945" w:type="dxa"/>
          </w:tcPr>
          <w:p w:rsidR="007314CE" w:rsidRPr="00E46415" w:rsidRDefault="007314CE" w:rsidP="00C46623">
            <w:pPr>
              <w:ind w:firstLine="0"/>
              <w:jc w:val="center"/>
              <w:rPr>
                <w:rFonts w:cs="Times New Roman"/>
                <w:b/>
                <w:sz w:val="28"/>
                <w:szCs w:val="28"/>
              </w:rPr>
            </w:pPr>
          </w:p>
        </w:tc>
        <w:tc>
          <w:tcPr>
            <w:tcW w:w="992" w:type="dxa"/>
          </w:tcPr>
          <w:p w:rsidR="007314CE" w:rsidRPr="00E46415" w:rsidRDefault="007314CE" w:rsidP="00C46623">
            <w:pPr>
              <w:ind w:left="5" w:right="-3" w:firstLine="0"/>
              <w:jc w:val="center"/>
              <w:rPr>
                <w:rFonts w:cs="Times New Roman"/>
                <w:b/>
                <w:sz w:val="28"/>
                <w:szCs w:val="28"/>
              </w:rPr>
            </w:pPr>
            <w:r w:rsidRPr="00E46415">
              <w:rPr>
                <w:rFonts w:cs="Times New Roman"/>
                <w:b/>
                <w:sz w:val="28"/>
                <w:szCs w:val="28"/>
              </w:rPr>
              <w:t>011</w:t>
            </w:r>
          </w:p>
        </w:tc>
        <w:tc>
          <w:tcPr>
            <w:tcW w:w="1776" w:type="dxa"/>
          </w:tcPr>
          <w:p w:rsidR="007314CE" w:rsidRPr="00E46415" w:rsidRDefault="007314CE" w:rsidP="00C46623">
            <w:pPr>
              <w:ind w:firstLine="0"/>
              <w:jc w:val="both"/>
              <w:rPr>
                <w:rFonts w:cs="Times New Roman"/>
                <w:sz w:val="20"/>
                <w:szCs w:val="20"/>
              </w:rPr>
            </w:pPr>
            <w:r w:rsidRPr="00E46415">
              <w:rPr>
                <w:rFonts w:cs="Times New Roman"/>
                <w:sz w:val="20"/>
                <w:szCs w:val="20"/>
              </w:rPr>
              <w:t>Środki trwałe</w:t>
            </w:r>
          </w:p>
        </w:tc>
        <w:tc>
          <w:tcPr>
            <w:tcW w:w="3119" w:type="dxa"/>
          </w:tcPr>
          <w:p w:rsidR="007314CE" w:rsidRPr="00E46415" w:rsidRDefault="007314CE" w:rsidP="00C46623">
            <w:pPr>
              <w:ind w:firstLine="0"/>
              <w:jc w:val="both"/>
              <w:rPr>
                <w:rFonts w:cs="Times New Roman"/>
                <w:sz w:val="20"/>
                <w:szCs w:val="20"/>
              </w:rPr>
            </w:pPr>
            <w:r w:rsidRPr="00E46415">
              <w:rPr>
                <w:rFonts w:cs="Times New Roman"/>
                <w:sz w:val="20"/>
                <w:szCs w:val="20"/>
              </w:rPr>
              <w:t>Służy do ewidencji stanu oraz zwiększeń i zmniejszeń wartości  początkowej środków trwałych</w:t>
            </w:r>
          </w:p>
        </w:tc>
        <w:tc>
          <w:tcPr>
            <w:tcW w:w="1837" w:type="dxa"/>
          </w:tcPr>
          <w:p w:rsidR="007314CE" w:rsidRPr="00E46415" w:rsidRDefault="007314CE" w:rsidP="00C46623">
            <w:pPr>
              <w:ind w:firstLine="0"/>
              <w:rPr>
                <w:rFonts w:cs="Times New Roman"/>
                <w:sz w:val="20"/>
                <w:szCs w:val="20"/>
              </w:rPr>
            </w:pPr>
            <w:r w:rsidRPr="00E46415">
              <w:rPr>
                <w:rFonts w:cs="Times New Roman"/>
                <w:sz w:val="20"/>
                <w:szCs w:val="20"/>
              </w:rPr>
              <w:t>Ewidencja szczegółowa prowadzona jest w  programie Assests Ninja Pirxon</w:t>
            </w:r>
          </w:p>
        </w:tc>
      </w:tr>
      <w:tr w:rsidR="007314CE" w:rsidRPr="00E46415" w:rsidTr="00C46623">
        <w:trPr>
          <w:trHeight w:val="366"/>
        </w:trPr>
        <w:tc>
          <w:tcPr>
            <w:tcW w:w="945" w:type="dxa"/>
          </w:tcPr>
          <w:p w:rsidR="007314CE" w:rsidRPr="00E46415" w:rsidRDefault="007314CE" w:rsidP="00C46623">
            <w:pPr>
              <w:ind w:firstLine="0"/>
              <w:jc w:val="center"/>
              <w:rPr>
                <w:rFonts w:cs="Times New Roman"/>
                <w:b/>
                <w:sz w:val="28"/>
                <w:szCs w:val="28"/>
              </w:rPr>
            </w:pPr>
          </w:p>
        </w:tc>
        <w:tc>
          <w:tcPr>
            <w:tcW w:w="992" w:type="dxa"/>
          </w:tcPr>
          <w:p w:rsidR="007314CE" w:rsidRPr="00E46415" w:rsidRDefault="007314CE" w:rsidP="00C46623">
            <w:pPr>
              <w:ind w:left="5" w:right="-3" w:firstLine="0"/>
              <w:jc w:val="center"/>
              <w:rPr>
                <w:rFonts w:cs="Times New Roman"/>
                <w:b/>
                <w:sz w:val="28"/>
                <w:szCs w:val="28"/>
              </w:rPr>
            </w:pPr>
            <w:r w:rsidRPr="00E46415">
              <w:rPr>
                <w:rFonts w:cs="Times New Roman"/>
                <w:b/>
                <w:sz w:val="28"/>
                <w:szCs w:val="28"/>
              </w:rPr>
              <w:t>013</w:t>
            </w:r>
          </w:p>
        </w:tc>
        <w:tc>
          <w:tcPr>
            <w:tcW w:w="1776" w:type="dxa"/>
          </w:tcPr>
          <w:p w:rsidR="007314CE" w:rsidRPr="00E46415" w:rsidRDefault="007314CE" w:rsidP="00C46623">
            <w:pPr>
              <w:ind w:firstLine="0"/>
              <w:jc w:val="both"/>
              <w:rPr>
                <w:rFonts w:cs="Times New Roman"/>
                <w:sz w:val="20"/>
                <w:szCs w:val="20"/>
              </w:rPr>
            </w:pPr>
            <w:r w:rsidRPr="00E46415">
              <w:rPr>
                <w:rFonts w:cs="Times New Roman"/>
                <w:sz w:val="20"/>
                <w:szCs w:val="20"/>
              </w:rPr>
              <w:t>Pozostałe środki trwałe</w:t>
            </w:r>
          </w:p>
        </w:tc>
        <w:tc>
          <w:tcPr>
            <w:tcW w:w="3119" w:type="dxa"/>
          </w:tcPr>
          <w:p w:rsidR="007314CE" w:rsidRPr="00E46415" w:rsidRDefault="007314CE" w:rsidP="00C46623">
            <w:pPr>
              <w:ind w:firstLine="0"/>
              <w:jc w:val="both"/>
              <w:rPr>
                <w:rFonts w:cs="Times New Roman"/>
                <w:sz w:val="20"/>
                <w:szCs w:val="20"/>
              </w:rPr>
            </w:pPr>
            <w:r w:rsidRPr="00E46415">
              <w:rPr>
                <w:rFonts w:cs="Times New Roman"/>
                <w:sz w:val="20"/>
                <w:szCs w:val="20"/>
              </w:rPr>
              <w:t>Służy do ewidencji stanu oraz zwiększeń i zmniejszeń wartości początkowej pozostałych środków trwałych, wydanych do używania na potrzeby działalności podstawowej jednostki lub działalności finansowo - wyodrębnionej, które podlegają umorzeniu w pełnej wartości w miesiącu wydania do używania</w:t>
            </w:r>
          </w:p>
        </w:tc>
        <w:tc>
          <w:tcPr>
            <w:tcW w:w="1837" w:type="dxa"/>
          </w:tcPr>
          <w:p w:rsidR="007314CE" w:rsidRPr="00E46415" w:rsidRDefault="007314CE" w:rsidP="00C46623">
            <w:pPr>
              <w:ind w:firstLine="0"/>
              <w:rPr>
                <w:rFonts w:cs="Times New Roman"/>
                <w:sz w:val="20"/>
                <w:szCs w:val="20"/>
              </w:rPr>
            </w:pPr>
            <w:r w:rsidRPr="00E46415">
              <w:rPr>
                <w:rFonts w:cs="Times New Roman"/>
                <w:sz w:val="20"/>
                <w:szCs w:val="20"/>
              </w:rPr>
              <w:t xml:space="preserve">Ewidencja szczegółowa prowadzona jest w  programie Assests Ninja Pirxon </w:t>
            </w:r>
          </w:p>
        </w:tc>
      </w:tr>
      <w:tr w:rsidR="007314CE" w:rsidRPr="00916C19" w:rsidTr="00C46623">
        <w:trPr>
          <w:trHeight w:val="366"/>
        </w:trPr>
        <w:tc>
          <w:tcPr>
            <w:tcW w:w="945" w:type="dxa"/>
          </w:tcPr>
          <w:p w:rsidR="007314CE" w:rsidRPr="00B63326" w:rsidRDefault="007314CE" w:rsidP="00C46623">
            <w:pPr>
              <w:ind w:firstLine="0"/>
              <w:jc w:val="center"/>
              <w:rPr>
                <w:rFonts w:cs="Times New Roman"/>
                <w:b/>
                <w:sz w:val="28"/>
                <w:szCs w:val="28"/>
              </w:rPr>
            </w:pPr>
            <w:r w:rsidRPr="00B63326">
              <w:br w:type="page"/>
            </w:r>
          </w:p>
        </w:tc>
        <w:tc>
          <w:tcPr>
            <w:tcW w:w="992" w:type="dxa"/>
          </w:tcPr>
          <w:p w:rsidR="007314CE" w:rsidRPr="00B63326" w:rsidRDefault="007314CE" w:rsidP="00C46623">
            <w:pPr>
              <w:ind w:left="5" w:right="-3" w:firstLine="0"/>
              <w:jc w:val="center"/>
              <w:rPr>
                <w:rFonts w:cs="Times New Roman"/>
                <w:b/>
                <w:sz w:val="28"/>
                <w:szCs w:val="28"/>
              </w:rPr>
            </w:pPr>
            <w:r w:rsidRPr="00B63326">
              <w:rPr>
                <w:rFonts w:cs="Times New Roman"/>
                <w:b/>
                <w:sz w:val="28"/>
                <w:szCs w:val="28"/>
              </w:rPr>
              <w:t>015</w:t>
            </w:r>
          </w:p>
        </w:tc>
        <w:tc>
          <w:tcPr>
            <w:tcW w:w="1776" w:type="dxa"/>
          </w:tcPr>
          <w:p w:rsidR="007314CE" w:rsidRPr="00B63326" w:rsidRDefault="007314CE" w:rsidP="00C46623">
            <w:pPr>
              <w:ind w:firstLine="0"/>
              <w:jc w:val="both"/>
              <w:rPr>
                <w:rFonts w:cs="Times New Roman"/>
                <w:sz w:val="20"/>
                <w:szCs w:val="20"/>
              </w:rPr>
            </w:pPr>
            <w:r w:rsidRPr="00B63326">
              <w:rPr>
                <w:rFonts w:cs="Times New Roman"/>
                <w:sz w:val="20"/>
                <w:szCs w:val="20"/>
              </w:rPr>
              <w:t>Mienie zlikwidowanych jednostek</w:t>
            </w:r>
          </w:p>
        </w:tc>
        <w:tc>
          <w:tcPr>
            <w:tcW w:w="3119" w:type="dxa"/>
          </w:tcPr>
          <w:p w:rsidR="007314CE" w:rsidRPr="00B63326" w:rsidRDefault="007314CE" w:rsidP="00C46623">
            <w:pPr>
              <w:ind w:firstLine="0"/>
              <w:jc w:val="both"/>
              <w:rPr>
                <w:rFonts w:cs="Times New Roman"/>
                <w:sz w:val="20"/>
                <w:szCs w:val="20"/>
              </w:rPr>
            </w:pPr>
            <w:r w:rsidRPr="00B63326">
              <w:rPr>
                <w:rFonts w:cs="Times New Roman"/>
                <w:sz w:val="20"/>
                <w:szCs w:val="20"/>
              </w:rPr>
              <w:t>Służy do ewidencji stanu  oraz zwiększeń i zmniejszeń wartości mienia przyjętego przez organ założycielski lub nadzorujący po zlikwidowanym przedsiębiorstwie państwowym, komunalnym lub innej podległej jednostce organizacyjnej, czyli zakładzie budżetowym lub gospodarstwie pomocniczym</w:t>
            </w:r>
          </w:p>
        </w:tc>
        <w:tc>
          <w:tcPr>
            <w:tcW w:w="1837" w:type="dxa"/>
          </w:tcPr>
          <w:p w:rsidR="007314CE" w:rsidRPr="00B63326" w:rsidRDefault="007314CE" w:rsidP="00C46623">
            <w:pPr>
              <w:ind w:firstLine="0"/>
              <w:jc w:val="both"/>
              <w:rPr>
                <w:rFonts w:cs="Times New Roman"/>
                <w:sz w:val="20"/>
                <w:szCs w:val="20"/>
              </w:rPr>
            </w:pPr>
            <w:r w:rsidRPr="00B63326">
              <w:rPr>
                <w:rFonts w:cs="Times New Roman"/>
                <w:sz w:val="20"/>
                <w:szCs w:val="20"/>
              </w:rPr>
              <w:t>Ewidencję szczegółową może stanowić bilans zlikwidowanego przedsiębiorstwa lub innej jednostki organizacyjnej wraz z załącznikami</w:t>
            </w:r>
          </w:p>
        </w:tc>
      </w:tr>
    </w:tbl>
    <w:p w:rsidR="007314CE" w:rsidRPr="00916C19" w:rsidRDefault="007314CE" w:rsidP="007314CE">
      <w:pPr>
        <w:rPr>
          <w:color w:val="FF0000"/>
        </w:rPr>
      </w:pPr>
      <w:r w:rsidRPr="00916C19">
        <w:rPr>
          <w:color w:val="FF0000"/>
        </w:rPr>
        <w:br w:type="page"/>
      </w:r>
    </w:p>
    <w:tbl>
      <w:tblPr>
        <w:tblW w:w="895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5"/>
        <w:gridCol w:w="992"/>
        <w:gridCol w:w="1776"/>
        <w:gridCol w:w="3119"/>
        <w:gridCol w:w="2126"/>
      </w:tblGrid>
      <w:tr w:rsidR="007314CE" w:rsidRPr="00916C19" w:rsidTr="00C46623">
        <w:trPr>
          <w:trHeight w:val="366"/>
        </w:trPr>
        <w:tc>
          <w:tcPr>
            <w:tcW w:w="945" w:type="dxa"/>
          </w:tcPr>
          <w:p w:rsidR="007314CE" w:rsidRPr="0050240A" w:rsidRDefault="007314CE" w:rsidP="00C46623">
            <w:pPr>
              <w:ind w:firstLine="0"/>
              <w:jc w:val="center"/>
              <w:rPr>
                <w:rFonts w:cs="Times New Roman"/>
                <w:b/>
                <w:sz w:val="28"/>
                <w:szCs w:val="28"/>
              </w:rPr>
            </w:pPr>
          </w:p>
        </w:tc>
        <w:tc>
          <w:tcPr>
            <w:tcW w:w="992" w:type="dxa"/>
          </w:tcPr>
          <w:p w:rsidR="007314CE" w:rsidRPr="0050240A" w:rsidRDefault="007314CE" w:rsidP="00C46623">
            <w:pPr>
              <w:ind w:left="5" w:right="-3" w:firstLine="0"/>
              <w:jc w:val="center"/>
              <w:rPr>
                <w:rFonts w:cs="Times New Roman"/>
                <w:b/>
                <w:sz w:val="28"/>
                <w:szCs w:val="28"/>
              </w:rPr>
            </w:pPr>
            <w:r w:rsidRPr="0050240A">
              <w:rPr>
                <w:rFonts w:cs="Times New Roman"/>
                <w:b/>
                <w:sz w:val="28"/>
                <w:szCs w:val="28"/>
              </w:rPr>
              <w:t>020</w:t>
            </w:r>
          </w:p>
        </w:tc>
        <w:tc>
          <w:tcPr>
            <w:tcW w:w="1776" w:type="dxa"/>
          </w:tcPr>
          <w:p w:rsidR="007314CE" w:rsidRPr="0050240A" w:rsidRDefault="007314CE" w:rsidP="00C46623">
            <w:pPr>
              <w:ind w:firstLine="0"/>
              <w:jc w:val="both"/>
              <w:rPr>
                <w:rFonts w:cs="Times New Roman"/>
                <w:sz w:val="20"/>
                <w:szCs w:val="20"/>
              </w:rPr>
            </w:pPr>
            <w:r w:rsidRPr="0050240A">
              <w:rPr>
                <w:rFonts w:cs="Times New Roman"/>
                <w:sz w:val="20"/>
                <w:szCs w:val="20"/>
              </w:rPr>
              <w:t>Wartości niematerialne i prawne</w:t>
            </w:r>
          </w:p>
        </w:tc>
        <w:tc>
          <w:tcPr>
            <w:tcW w:w="3119" w:type="dxa"/>
          </w:tcPr>
          <w:p w:rsidR="007314CE" w:rsidRPr="0050240A" w:rsidRDefault="007314CE" w:rsidP="00C46623">
            <w:pPr>
              <w:ind w:firstLine="0"/>
              <w:rPr>
                <w:rFonts w:cs="Times New Roman"/>
                <w:sz w:val="20"/>
                <w:szCs w:val="20"/>
              </w:rPr>
            </w:pPr>
            <w:r w:rsidRPr="0050240A">
              <w:rPr>
                <w:rFonts w:cs="Times New Roman"/>
                <w:sz w:val="20"/>
                <w:szCs w:val="20"/>
              </w:rPr>
              <w:t>Ewidencja stanu oraz zwiększeń i zmniejszeń wartości początkowej wartości niematerialnych i prawnych</w:t>
            </w:r>
          </w:p>
        </w:tc>
        <w:tc>
          <w:tcPr>
            <w:tcW w:w="2126" w:type="dxa"/>
          </w:tcPr>
          <w:p w:rsidR="007314CE" w:rsidRPr="0050240A" w:rsidRDefault="007314CE" w:rsidP="00C46623">
            <w:pPr>
              <w:ind w:firstLine="0"/>
              <w:rPr>
                <w:rFonts w:cs="Times New Roman"/>
                <w:sz w:val="20"/>
                <w:szCs w:val="20"/>
              </w:rPr>
            </w:pPr>
            <w:r w:rsidRPr="0050240A">
              <w:rPr>
                <w:rFonts w:cs="Times New Roman"/>
                <w:sz w:val="20"/>
                <w:szCs w:val="20"/>
              </w:rPr>
              <w:t>Ewidencja szczegółowa prowadzona jest  w programie Assests Ninja Pirxon</w:t>
            </w:r>
          </w:p>
        </w:tc>
      </w:tr>
      <w:tr w:rsidR="007314CE" w:rsidRPr="00916C19" w:rsidTr="00C46623">
        <w:trPr>
          <w:trHeight w:val="366"/>
        </w:trPr>
        <w:tc>
          <w:tcPr>
            <w:tcW w:w="945" w:type="dxa"/>
          </w:tcPr>
          <w:p w:rsidR="007314CE" w:rsidRPr="0050240A" w:rsidRDefault="007314CE" w:rsidP="00C46623">
            <w:pPr>
              <w:ind w:firstLine="0"/>
              <w:jc w:val="center"/>
              <w:rPr>
                <w:rFonts w:cs="Times New Roman"/>
                <w:b/>
                <w:sz w:val="28"/>
                <w:szCs w:val="28"/>
              </w:rPr>
            </w:pPr>
          </w:p>
        </w:tc>
        <w:tc>
          <w:tcPr>
            <w:tcW w:w="992" w:type="dxa"/>
          </w:tcPr>
          <w:p w:rsidR="007314CE" w:rsidRPr="0050240A" w:rsidRDefault="007314CE" w:rsidP="00C46623">
            <w:pPr>
              <w:ind w:left="5" w:right="-3" w:firstLine="0"/>
              <w:jc w:val="center"/>
              <w:rPr>
                <w:rFonts w:cs="Times New Roman"/>
                <w:b/>
                <w:sz w:val="28"/>
                <w:szCs w:val="28"/>
              </w:rPr>
            </w:pPr>
            <w:r w:rsidRPr="0050240A">
              <w:rPr>
                <w:rFonts w:cs="Times New Roman"/>
                <w:b/>
                <w:sz w:val="28"/>
                <w:szCs w:val="28"/>
              </w:rPr>
              <w:t>030</w:t>
            </w:r>
          </w:p>
        </w:tc>
        <w:tc>
          <w:tcPr>
            <w:tcW w:w="1776" w:type="dxa"/>
          </w:tcPr>
          <w:p w:rsidR="007314CE" w:rsidRPr="0050240A" w:rsidRDefault="007314CE" w:rsidP="00C46623">
            <w:pPr>
              <w:ind w:firstLine="0"/>
              <w:jc w:val="both"/>
              <w:rPr>
                <w:rFonts w:cs="Times New Roman"/>
                <w:sz w:val="20"/>
                <w:szCs w:val="20"/>
              </w:rPr>
            </w:pPr>
            <w:r w:rsidRPr="0050240A">
              <w:rPr>
                <w:rFonts w:cs="Times New Roman"/>
                <w:sz w:val="20"/>
                <w:szCs w:val="20"/>
              </w:rPr>
              <w:t>Długoterminowe aktywa finansowe</w:t>
            </w:r>
          </w:p>
        </w:tc>
        <w:tc>
          <w:tcPr>
            <w:tcW w:w="3119" w:type="dxa"/>
          </w:tcPr>
          <w:p w:rsidR="007314CE" w:rsidRPr="0050240A" w:rsidRDefault="007314CE" w:rsidP="00C46623">
            <w:pPr>
              <w:spacing w:line="240" w:lineRule="auto"/>
              <w:ind w:firstLine="0"/>
              <w:rPr>
                <w:rFonts w:cs="Times New Roman"/>
                <w:sz w:val="20"/>
                <w:szCs w:val="20"/>
              </w:rPr>
            </w:pPr>
            <w:r w:rsidRPr="0050240A">
              <w:rPr>
                <w:rFonts w:cs="Times New Roman"/>
                <w:sz w:val="20"/>
                <w:szCs w:val="20"/>
              </w:rPr>
              <w:t>Służy do ewidencji długoterminowych aktywów finansowych, w szczególności akcji i  innych długoterminowych aktywów  finansowych o terminie wykupu dłuższym niż rok</w:t>
            </w:r>
          </w:p>
          <w:p w:rsidR="007314CE" w:rsidRPr="0050240A" w:rsidRDefault="007314CE" w:rsidP="00C46623">
            <w:pPr>
              <w:spacing w:line="240" w:lineRule="auto"/>
              <w:ind w:firstLine="0"/>
              <w:jc w:val="center"/>
              <w:rPr>
                <w:rFonts w:cs="Times New Roman"/>
                <w:sz w:val="20"/>
                <w:szCs w:val="20"/>
              </w:rPr>
            </w:pPr>
          </w:p>
        </w:tc>
        <w:tc>
          <w:tcPr>
            <w:tcW w:w="2126" w:type="dxa"/>
          </w:tcPr>
          <w:p w:rsidR="007314CE" w:rsidRPr="0050240A" w:rsidRDefault="007314CE" w:rsidP="00C46623">
            <w:pPr>
              <w:ind w:firstLine="0"/>
              <w:jc w:val="both"/>
              <w:rPr>
                <w:rFonts w:cs="Times New Roman"/>
                <w:sz w:val="20"/>
                <w:szCs w:val="20"/>
              </w:rPr>
            </w:pPr>
            <w:r w:rsidRPr="0050240A">
              <w:rPr>
                <w:rFonts w:cs="Times New Roman"/>
                <w:sz w:val="20"/>
                <w:szCs w:val="20"/>
              </w:rPr>
              <w:t>Ewidencja szczegółowa powinna zapewnić ustalenie wartości poszczególnych składników długoterminowych aktywów finansowych według tytułów</w:t>
            </w:r>
          </w:p>
        </w:tc>
      </w:tr>
      <w:tr w:rsidR="007314CE" w:rsidRPr="00916C19" w:rsidTr="00C46623">
        <w:trPr>
          <w:trHeight w:val="366"/>
        </w:trPr>
        <w:tc>
          <w:tcPr>
            <w:tcW w:w="945" w:type="dxa"/>
          </w:tcPr>
          <w:p w:rsidR="007314CE" w:rsidRPr="0050240A" w:rsidRDefault="007314CE" w:rsidP="00C46623">
            <w:pPr>
              <w:ind w:firstLine="0"/>
              <w:jc w:val="center"/>
              <w:rPr>
                <w:rFonts w:cs="Times New Roman"/>
                <w:b/>
                <w:sz w:val="28"/>
                <w:szCs w:val="28"/>
              </w:rPr>
            </w:pPr>
          </w:p>
        </w:tc>
        <w:tc>
          <w:tcPr>
            <w:tcW w:w="992" w:type="dxa"/>
          </w:tcPr>
          <w:p w:rsidR="007314CE" w:rsidRPr="0050240A" w:rsidRDefault="007314CE" w:rsidP="00C46623">
            <w:pPr>
              <w:ind w:left="5" w:right="-3" w:firstLine="0"/>
              <w:jc w:val="center"/>
              <w:rPr>
                <w:rFonts w:cs="Times New Roman"/>
                <w:b/>
                <w:sz w:val="28"/>
                <w:szCs w:val="28"/>
              </w:rPr>
            </w:pPr>
            <w:r w:rsidRPr="0050240A">
              <w:rPr>
                <w:rFonts w:cs="Times New Roman"/>
                <w:b/>
                <w:sz w:val="28"/>
                <w:szCs w:val="28"/>
              </w:rPr>
              <w:t>071</w:t>
            </w:r>
          </w:p>
        </w:tc>
        <w:tc>
          <w:tcPr>
            <w:tcW w:w="1776" w:type="dxa"/>
          </w:tcPr>
          <w:p w:rsidR="007314CE" w:rsidRPr="0050240A" w:rsidRDefault="007314CE" w:rsidP="00C46623">
            <w:pPr>
              <w:ind w:firstLine="0"/>
              <w:jc w:val="both"/>
              <w:rPr>
                <w:rFonts w:cs="Times New Roman"/>
                <w:sz w:val="20"/>
                <w:szCs w:val="20"/>
              </w:rPr>
            </w:pPr>
            <w:r w:rsidRPr="0050240A">
              <w:rPr>
                <w:rFonts w:cs="Times New Roman"/>
                <w:sz w:val="20"/>
                <w:szCs w:val="20"/>
              </w:rPr>
              <w:t>Umorzenie środków trwałych oraz wartości niematerialnych i prawnych</w:t>
            </w:r>
          </w:p>
        </w:tc>
        <w:tc>
          <w:tcPr>
            <w:tcW w:w="3119" w:type="dxa"/>
          </w:tcPr>
          <w:p w:rsidR="007314CE" w:rsidRPr="0050240A" w:rsidRDefault="007314CE" w:rsidP="00C46623">
            <w:pPr>
              <w:ind w:firstLine="0"/>
              <w:rPr>
                <w:rFonts w:cs="Times New Roman"/>
                <w:sz w:val="20"/>
                <w:szCs w:val="20"/>
              </w:rPr>
            </w:pPr>
            <w:r w:rsidRPr="0050240A">
              <w:rPr>
                <w:rFonts w:cs="Times New Roman"/>
                <w:sz w:val="20"/>
                <w:szCs w:val="20"/>
              </w:rPr>
              <w:t>Ewidencja zmniejszeń wartości początkowej środków trwałych oraz wartości niematerialnych i prawnych, które podlegają umorzeniu według stawek amortyzacyjnych stosowanych przez jednostkę</w:t>
            </w:r>
          </w:p>
        </w:tc>
        <w:tc>
          <w:tcPr>
            <w:tcW w:w="2126" w:type="dxa"/>
          </w:tcPr>
          <w:p w:rsidR="007314CE" w:rsidRPr="0050240A" w:rsidRDefault="007314CE" w:rsidP="00C46623">
            <w:pPr>
              <w:ind w:firstLine="0"/>
              <w:jc w:val="both"/>
              <w:rPr>
                <w:rFonts w:cs="Times New Roman"/>
                <w:sz w:val="20"/>
                <w:szCs w:val="20"/>
              </w:rPr>
            </w:pPr>
            <w:r w:rsidRPr="0050240A">
              <w:rPr>
                <w:rFonts w:cs="Times New Roman"/>
                <w:sz w:val="20"/>
                <w:szCs w:val="20"/>
              </w:rPr>
              <w:t>Według zasad podanych do konta 011 i 020</w:t>
            </w:r>
          </w:p>
        </w:tc>
      </w:tr>
      <w:tr w:rsidR="007314CE" w:rsidRPr="00916C19" w:rsidTr="00C46623">
        <w:trPr>
          <w:trHeight w:val="366"/>
        </w:trPr>
        <w:tc>
          <w:tcPr>
            <w:tcW w:w="945" w:type="dxa"/>
          </w:tcPr>
          <w:p w:rsidR="007314CE" w:rsidRPr="0050240A" w:rsidRDefault="007314CE" w:rsidP="00C46623">
            <w:pPr>
              <w:ind w:firstLine="0"/>
              <w:jc w:val="center"/>
              <w:rPr>
                <w:rFonts w:cs="Times New Roman"/>
                <w:b/>
                <w:sz w:val="28"/>
                <w:szCs w:val="28"/>
              </w:rPr>
            </w:pPr>
          </w:p>
        </w:tc>
        <w:tc>
          <w:tcPr>
            <w:tcW w:w="992" w:type="dxa"/>
          </w:tcPr>
          <w:p w:rsidR="007314CE" w:rsidRPr="0050240A" w:rsidRDefault="007314CE" w:rsidP="00C46623">
            <w:pPr>
              <w:ind w:left="5" w:right="-3" w:firstLine="0"/>
              <w:jc w:val="center"/>
              <w:rPr>
                <w:rFonts w:cs="Times New Roman"/>
                <w:b/>
                <w:sz w:val="28"/>
                <w:szCs w:val="28"/>
              </w:rPr>
            </w:pPr>
            <w:r w:rsidRPr="0050240A">
              <w:rPr>
                <w:rFonts w:cs="Times New Roman"/>
                <w:b/>
                <w:sz w:val="28"/>
                <w:szCs w:val="28"/>
              </w:rPr>
              <w:t>072</w:t>
            </w:r>
          </w:p>
        </w:tc>
        <w:tc>
          <w:tcPr>
            <w:tcW w:w="1776" w:type="dxa"/>
          </w:tcPr>
          <w:p w:rsidR="007314CE" w:rsidRPr="0050240A" w:rsidRDefault="007314CE" w:rsidP="00C46623">
            <w:pPr>
              <w:ind w:firstLine="0"/>
              <w:jc w:val="both"/>
              <w:rPr>
                <w:rFonts w:cs="Times New Roman"/>
                <w:sz w:val="20"/>
                <w:szCs w:val="20"/>
              </w:rPr>
            </w:pPr>
            <w:r w:rsidRPr="0050240A">
              <w:rPr>
                <w:rFonts w:cs="Times New Roman"/>
                <w:sz w:val="20"/>
                <w:szCs w:val="20"/>
              </w:rPr>
              <w:t>Umorzenie pozostałych środków trwałych, wartości niematerialnych i prawnych oraz zbiorów bibliotecznych</w:t>
            </w:r>
          </w:p>
        </w:tc>
        <w:tc>
          <w:tcPr>
            <w:tcW w:w="3119" w:type="dxa"/>
          </w:tcPr>
          <w:p w:rsidR="007314CE" w:rsidRPr="0050240A" w:rsidRDefault="007314CE" w:rsidP="00C46623">
            <w:pPr>
              <w:ind w:firstLine="0"/>
              <w:rPr>
                <w:rFonts w:cs="Times New Roman"/>
                <w:sz w:val="20"/>
                <w:szCs w:val="20"/>
              </w:rPr>
            </w:pPr>
            <w:r w:rsidRPr="0050240A">
              <w:rPr>
                <w:rFonts w:cs="Times New Roman"/>
                <w:sz w:val="20"/>
                <w:szCs w:val="20"/>
              </w:rPr>
              <w:t>Ewidencja zmniejszeń wartości początkowej środków trwałych oraz  wartości niematerialnych i prawnych, podlegających umorzeniu jednorazowo w pełnej wartości, w miesiącu wydania ich do używania</w:t>
            </w:r>
          </w:p>
        </w:tc>
        <w:tc>
          <w:tcPr>
            <w:tcW w:w="2126" w:type="dxa"/>
          </w:tcPr>
          <w:p w:rsidR="007314CE" w:rsidRPr="0050240A" w:rsidRDefault="007314CE" w:rsidP="00C46623">
            <w:pPr>
              <w:ind w:firstLine="0"/>
              <w:jc w:val="both"/>
              <w:rPr>
                <w:rFonts w:cs="Times New Roman"/>
                <w:sz w:val="20"/>
                <w:szCs w:val="20"/>
              </w:rPr>
            </w:pPr>
          </w:p>
        </w:tc>
      </w:tr>
      <w:tr w:rsidR="007314CE" w:rsidRPr="009C39FF" w:rsidTr="00C46623">
        <w:trPr>
          <w:trHeight w:val="366"/>
        </w:trPr>
        <w:tc>
          <w:tcPr>
            <w:tcW w:w="945" w:type="dxa"/>
          </w:tcPr>
          <w:p w:rsidR="007314CE" w:rsidRPr="00916C19" w:rsidRDefault="007314CE" w:rsidP="00C46623">
            <w:pPr>
              <w:ind w:firstLine="0"/>
              <w:jc w:val="center"/>
              <w:rPr>
                <w:rFonts w:cs="Times New Roman"/>
                <w:b/>
                <w:color w:val="FF0000"/>
                <w:sz w:val="28"/>
                <w:szCs w:val="28"/>
              </w:rPr>
            </w:pPr>
          </w:p>
        </w:tc>
        <w:tc>
          <w:tcPr>
            <w:tcW w:w="992" w:type="dxa"/>
          </w:tcPr>
          <w:p w:rsidR="007314CE" w:rsidRPr="009C39FF" w:rsidRDefault="007314CE" w:rsidP="00C46623">
            <w:pPr>
              <w:ind w:left="5" w:right="-3" w:firstLine="0"/>
              <w:jc w:val="center"/>
              <w:rPr>
                <w:rFonts w:cs="Times New Roman"/>
                <w:b/>
                <w:sz w:val="28"/>
                <w:szCs w:val="28"/>
              </w:rPr>
            </w:pPr>
            <w:r w:rsidRPr="009C39FF">
              <w:rPr>
                <w:rFonts w:cs="Times New Roman"/>
                <w:b/>
                <w:sz w:val="28"/>
                <w:szCs w:val="28"/>
              </w:rPr>
              <w:t>073</w:t>
            </w:r>
          </w:p>
        </w:tc>
        <w:tc>
          <w:tcPr>
            <w:tcW w:w="1776" w:type="dxa"/>
          </w:tcPr>
          <w:p w:rsidR="007314CE" w:rsidRPr="009C39FF" w:rsidRDefault="007314CE" w:rsidP="00C46623">
            <w:pPr>
              <w:ind w:firstLine="0"/>
              <w:jc w:val="both"/>
              <w:rPr>
                <w:rFonts w:cs="Times New Roman"/>
                <w:sz w:val="20"/>
                <w:szCs w:val="20"/>
              </w:rPr>
            </w:pPr>
            <w:r w:rsidRPr="009C39FF">
              <w:rPr>
                <w:rFonts w:cs="Times New Roman"/>
                <w:sz w:val="20"/>
                <w:szCs w:val="20"/>
              </w:rPr>
              <w:t>Odpisy aktualizujące długoterminowe aktywa finansowe</w:t>
            </w:r>
          </w:p>
        </w:tc>
        <w:tc>
          <w:tcPr>
            <w:tcW w:w="3119" w:type="dxa"/>
          </w:tcPr>
          <w:p w:rsidR="007314CE" w:rsidRPr="009C39FF" w:rsidRDefault="007314CE" w:rsidP="00C46623">
            <w:pPr>
              <w:ind w:firstLine="0"/>
              <w:rPr>
                <w:rFonts w:cs="Times New Roman"/>
                <w:sz w:val="20"/>
                <w:szCs w:val="20"/>
              </w:rPr>
            </w:pPr>
            <w:r w:rsidRPr="009C39FF">
              <w:rPr>
                <w:rFonts w:cs="Times New Roman"/>
                <w:sz w:val="20"/>
                <w:szCs w:val="20"/>
              </w:rPr>
              <w:t>Ewidencja odpisów aktualizujących długoterminowe aktywa finansowe</w:t>
            </w:r>
          </w:p>
        </w:tc>
        <w:tc>
          <w:tcPr>
            <w:tcW w:w="2126" w:type="dxa"/>
          </w:tcPr>
          <w:p w:rsidR="007314CE" w:rsidRPr="009C39FF" w:rsidRDefault="007314CE" w:rsidP="00C46623">
            <w:pPr>
              <w:ind w:firstLine="0"/>
              <w:jc w:val="both"/>
              <w:rPr>
                <w:rFonts w:cs="Times New Roman"/>
                <w:sz w:val="20"/>
                <w:szCs w:val="20"/>
              </w:rPr>
            </w:pPr>
          </w:p>
        </w:tc>
      </w:tr>
      <w:tr w:rsidR="007314CE" w:rsidRPr="009C39FF" w:rsidTr="00C46623">
        <w:trPr>
          <w:trHeight w:val="366"/>
        </w:trPr>
        <w:tc>
          <w:tcPr>
            <w:tcW w:w="945" w:type="dxa"/>
          </w:tcPr>
          <w:p w:rsidR="007314CE" w:rsidRPr="00916C19" w:rsidRDefault="007314CE" w:rsidP="00C46623">
            <w:pPr>
              <w:ind w:firstLine="0"/>
              <w:jc w:val="center"/>
              <w:rPr>
                <w:rFonts w:cs="Times New Roman"/>
                <w:b/>
                <w:color w:val="FF0000"/>
                <w:sz w:val="28"/>
                <w:szCs w:val="28"/>
              </w:rPr>
            </w:pPr>
            <w:r w:rsidRPr="00916C19">
              <w:rPr>
                <w:color w:val="FF0000"/>
              </w:rPr>
              <w:br w:type="page"/>
            </w:r>
          </w:p>
        </w:tc>
        <w:tc>
          <w:tcPr>
            <w:tcW w:w="992" w:type="dxa"/>
          </w:tcPr>
          <w:p w:rsidR="007314CE" w:rsidRPr="009C39FF" w:rsidRDefault="007314CE" w:rsidP="00C46623">
            <w:pPr>
              <w:ind w:left="5" w:right="-3" w:firstLine="0"/>
              <w:jc w:val="center"/>
              <w:rPr>
                <w:rFonts w:cs="Times New Roman"/>
                <w:b/>
                <w:sz w:val="28"/>
                <w:szCs w:val="28"/>
              </w:rPr>
            </w:pPr>
            <w:r w:rsidRPr="009C39FF">
              <w:rPr>
                <w:rFonts w:cs="Times New Roman"/>
                <w:b/>
                <w:sz w:val="28"/>
                <w:szCs w:val="28"/>
              </w:rPr>
              <w:t>080</w:t>
            </w:r>
          </w:p>
        </w:tc>
        <w:tc>
          <w:tcPr>
            <w:tcW w:w="1776" w:type="dxa"/>
          </w:tcPr>
          <w:p w:rsidR="007314CE" w:rsidRPr="009C39FF" w:rsidRDefault="007314CE" w:rsidP="00C46623">
            <w:pPr>
              <w:ind w:firstLine="0"/>
              <w:jc w:val="both"/>
              <w:rPr>
                <w:rFonts w:cs="Times New Roman"/>
                <w:sz w:val="20"/>
                <w:szCs w:val="20"/>
              </w:rPr>
            </w:pPr>
            <w:r w:rsidRPr="009C39FF">
              <w:rPr>
                <w:rFonts w:cs="Times New Roman"/>
                <w:sz w:val="20"/>
                <w:szCs w:val="20"/>
              </w:rPr>
              <w:t>Środki trwałe w budowie  (inwestycje)</w:t>
            </w:r>
          </w:p>
        </w:tc>
        <w:tc>
          <w:tcPr>
            <w:tcW w:w="3119" w:type="dxa"/>
          </w:tcPr>
          <w:p w:rsidR="007314CE" w:rsidRPr="009C39FF" w:rsidRDefault="007314CE" w:rsidP="00C46623">
            <w:pPr>
              <w:ind w:firstLine="0"/>
              <w:jc w:val="both"/>
              <w:rPr>
                <w:rFonts w:cs="Times New Roman"/>
                <w:sz w:val="20"/>
                <w:szCs w:val="20"/>
              </w:rPr>
            </w:pPr>
            <w:r w:rsidRPr="009C39FF">
              <w:rPr>
                <w:rFonts w:cs="Times New Roman"/>
                <w:sz w:val="20"/>
                <w:szCs w:val="20"/>
              </w:rPr>
              <w:t>Ewidencja kosztów środków trwałych w budowie oraz ewidencja rozliczania kosztów środków trwałych w budowie na uzyskane efekty inwestycyjne.</w:t>
            </w:r>
          </w:p>
          <w:p w:rsidR="007314CE" w:rsidRPr="009C39FF" w:rsidRDefault="007314CE" w:rsidP="00C46623">
            <w:pPr>
              <w:ind w:firstLine="0"/>
              <w:jc w:val="both"/>
              <w:rPr>
                <w:rFonts w:cs="Times New Roman"/>
                <w:sz w:val="20"/>
                <w:szCs w:val="20"/>
              </w:rPr>
            </w:pPr>
            <w:r w:rsidRPr="009C39FF">
              <w:rPr>
                <w:rFonts w:cs="Times New Roman"/>
                <w:sz w:val="20"/>
                <w:szCs w:val="20"/>
              </w:rPr>
              <w:t>Na koncie ewidencjonuje się również rozliczenie kosztów dotyczących zakupów gotowych środków trwałych.</w:t>
            </w:r>
          </w:p>
        </w:tc>
        <w:tc>
          <w:tcPr>
            <w:tcW w:w="2126" w:type="dxa"/>
          </w:tcPr>
          <w:p w:rsidR="007314CE" w:rsidRPr="009C39FF" w:rsidRDefault="007314CE" w:rsidP="00C46623">
            <w:pPr>
              <w:ind w:firstLine="0"/>
              <w:jc w:val="both"/>
              <w:rPr>
                <w:rFonts w:cs="Times New Roman"/>
                <w:sz w:val="20"/>
                <w:szCs w:val="20"/>
              </w:rPr>
            </w:pPr>
            <w:r w:rsidRPr="009C39FF">
              <w:rPr>
                <w:rFonts w:cs="Times New Roman"/>
                <w:sz w:val="20"/>
                <w:szCs w:val="20"/>
              </w:rPr>
              <w:t>Ewidencja szczegółowa powinna zapewnić wyodrębnienie kosztów środków trwałych w budowie według poszczególnych rodzajów efektów inwestycyjnych oraz skalkulowanie ceny nabycia lub kosztu wytworzenia poszczególnych obiektów środków trwałych</w:t>
            </w:r>
          </w:p>
        </w:tc>
      </w:tr>
    </w:tbl>
    <w:p w:rsidR="007314CE" w:rsidRPr="00916C19" w:rsidRDefault="007314CE" w:rsidP="007314CE">
      <w:pPr>
        <w:rPr>
          <w:color w:val="FF0000"/>
        </w:rPr>
      </w:pPr>
      <w:r w:rsidRPr="00916C19">
        <w:rPr>
          <w:color w:val="FF0000"/>
        </w:rPr>
        <w:br w:type="page"/>
      </w:r>
    </w:p>
    <w:p w:rsidR="007314CE" w:rsidRPr="00916C19" w:rsidRDefault="007314CE" w:rsidP="007314CE">
      <w:pPr>
        <w:rPr>
          <w:color w:val="FF0000"/>
        </w:rPr>
      </w:pPr>
    </w:p>
    <w:p w:rsidR="007314CE" w:rsidRPr="00916C19" w:rsidRDefault="007314CE" w:rsidP="007314CE">
      <w:pPr>
        <w:rPr>
          <w:color w:val="FF0000"/>
        </w:rPr>
      </w:pPr>
    </w:p>
    <w:tbl>
      <w:tblPr>
        <w:tblW w:w="895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992"/>
        <w:gridCol w:w="1635"/>
        <w:gridCol w:w="3261"/>
        <w:gridCol w:w="2127"/>
      </w:tblGrid>
      <w:tr w:rsidR="007314CE" w:rsidRPr="009C2097" w:rsidTr="00C46623">
        <w:trPr>
          <w:trHeight w:val="392"/>
        </w:trPr>
        <w:tc>
          <w:tcPr>
            <w:tcW w:w="943" w:type="dxa"/>
          </w:tcPr>
          <w:p w:rsidR="007314CE" w:rsidRPr="009C2097" w:rsidRDefault="007314CE" w:rsidP="00C46623">
            <w:pPr>
              <w:ind w:firstLine="0"/>
              <w:jc w:val="center"/>
              <w:rPr>
                <w:rFonts w:cs="Times New Roman"/>
                <w:b/>
                <w:sz w:val="28"/>
                <w:szCs w:val="28"/>
              </w:rPr>
            </w:pPr>
            <w:r w:rsidRPr="009C2097">
              <w:rPr>
                <w:rFonts w:cs="Times New Roman"/>
                <w:b/>
                <w:sz w:val="28"/>
                <w:szCs w:val="28"/>
              </w:rPr>
              <w:t>1</w:t>
            </w:r>
          </w:p>
        </w:tc>
        <w:tc>
          <w:tcPr>
            <w:tcW w:w="8015" w:type="dxa"/>
            <w:gridSpan w:val="4"/>
          </w:tcPr>
          <w:p w:rsidR="007314CE" w:rsidRPr="009C2097" w:rsidRDefault="007314CE" w:rsidP="00C46623">
            <w:pPr>
              <w:ind w:firstLine="0"/>
              <w:jc w:val="center"/>
              <w:rPr>
                <w:rFonts w:cs="Times New Roman"/>
                <w:sz w:val="20"/>
                <w:szCs w:val="20"/>
                <w:highlight w:val="yellow"/>
              </w:rPr>
            </w:pPr>
            <w:r w:rsidRPr="009C2097">
              <w:rPr>
                <w:rFonts w:cs="Times New Roman"/>
                <w:b/>
                <w:sz w:val="28"/>
                <w:szCs w:val="28"/>
              </w:rPr>
              <w:t>Środki pieniężne i rachunki bankowe</w:t>
            </w:r>
          </w:p>
        </w:tc>
      </w:tr>
      <w:tr w:rsidR="007314CE" w:rsidRPr="009C2097" w:rsidTr="00C46623">
        <w:trPr>
          <w:trHeight w:val="366"/>
        </w:trPr>
        <w:tc>
          <w:tcPr>
            <w:tcW w:w="943" w:type="dxa"/>
            <w:tcBorders>
              <w:top w:val="nil"/>
              <w:bottom w:val="nil"/>
            </w:tcBorders>
          </w:tcPr>
          <w:p w:rsidR="007314CE" w:rsidRPr="009C2097" w:rsidRDefault="007314CE" w:rsidP="00C46623">
            <w:pPr>
              <w:ind w:firstLine="0"/>
              <w:jc w:val="center"/>
              <w:rPr>
                <w:rFonts w:cs="Times New Roman"/>
                <w:b/>
                <w:sz w:val="28"/>
                <w:szCs w:val="28"/>
              </w:rPr>
            </w:pPr>
          </w:p>
        </w:tc>
        <w:tc>
          <w:tcPr>
            <w:tcW w:w="992" w:type="dxa"/>
            <w:tcBorders>
              <w:top w:val="nil"/>
              <w:bottom w:val="nil"/>
            </w:tcBorders>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130</w:t>
            </w:r>
          </w:p>
        </w:tc>
        <w:tc>
          <w:tcPr>
            <w:tcW w:w="1635" w:type="dxa"/>
            <w:tcBorders>
              <w:top w:val="nil"/>
              <w:bottom w:val="nil"/>
            </w:tcBorders>
          </w:tcPr>
          <w:p w:rsidR="007314CE" w:rsidRPr="009C2097" w:rsidRDefault="007314CE" w:rsidP="00C46623">
            <w:pPr>
              <w:ind w:firstLine="0"/>
              <w:jc w:val="both"/>
              <w:rPr>
                <w:rFonts w:cs="Times New Roman"/>
                <w:sz w:val="20"/>
                <w:szCs w:val="20"/>
              </w:rPr>
            </w:pPr>
            <w:r w:rsidRPr="009C2097">
              <w:rPr>
                <w:rFonts w:cs="Times New Roman"/>
                <w:sz w:val="20"/>
                <w:szCs w:val="20"/>
              </w:rPr>
              <w:t>Rachunek bieżący jednostki</w:t>
            </w:r>
          </w:p>
        </w:tc>
        <w:tc>
          <w:tcPr>
            <w:tcW w:w="3261" w:type="dxa"/>
            <w:tcBorders>
              <w:bottom w:val="nil"/>
            </w:tcBorders>
          </w:tcPr>
          <w:p w:rsidR="007314CE" w:rsidRPr="009C2097" w:rsidRDefault="007314CE" w:rsidP="00C46623">
            <w:pPr>
              <w:ind w:firstLine="0"/>
              <w:jc w:val="both"/>
              <w:rPr>
                <w:rFonts w:cs="Times New Roman"/>
                <w:sz w:val="20"/>
                <w:szCs w:val="20"/>
              </w:rPr>
            </w:pPr>
            <w:r w:rsidRPr="009C2097">
              <w:rPr>
                <w:rFonts w:cs="Times New Roman"/>
                <w:sz w:val="20"/>
                <w:szCs w:val="20"/>
              </w:rPr>
              <w:t>Ewidencja stanu środków budżetowych oraz obrotów na rachunku bankowym z tytułu wydatków i dochodów (wpływów)  budżetowych objętych planem finansowym.</w:t>
            </w:r>
          </w:p>
          <w:p w:rsidR="007314CE" w:rsidRPr="009C2097" w:rsidRDefault="007314CE" w:rsidP="00C46623">
            <w:pPr>
              <w:ind w:firstLine="0"/>
              <w:jc w:val="both"/>
              <w:rPr>
                <w:rFonts w:cs="Times New Roman"/>
                <w:sz w:val="20"/>
                <w:szCs w:val="20"/>
              </w:rPr>
            </w:pPr>
            <w:r w:rsidRPr="009C2097">
              <w:rPr>
                <w:rFonts w:cs="Times New Roman"/>
                <w:sz w:val="20"/>
                <w:szCs w:val="20"/>
              </w:rPr>
              <w:t>Zapisy na koncie 130 są dokonywane na podstawie dokumentów bankowych.  Na koncie 130 obowiązuje zachowanie zasady czystości obrotów, co oznacza, że stosowana technika księgowości ma zapewnić możliwość prawidłowego ustalania wysokości tych obrotów oraz niezbędne dane do sporządzania sprawozdań finansowych, budżetowych lub innych określonych w odrębnych przepisach. Dopuszczalne jest stosowanie innych niż dokumenty bankowe dowodów księgowych, jeżeli jest to konieczne dla zachowania czystości obrotów.</w:t>
            </w:r>
          </w:p>
          <w:p w:rsidR="007314CE" w:rsidRPr="009C2097" w:rsidRDefault="007314CE" w:rsidP="00C46623">
            <w:pPr>
              <w:ind w:firstLine="0"/>
              <w:jc w:val="both"/>
              <w:rPr>
                <w:rFonts w:cs="Times New Roman"/>
                <w:sz w:val="20"/>
                <w:szCs w:val="20"/>
              </w:rPr>
            </w:pPr>
            <w:r w:rsidRPr="009C2097">
              <w:rPr>
                <w:rFonts w:cs="Times New Roman"/>
                <w:sz w:val="20"/>
                <w:szCs w:val="20"/>
              </w:rPr>
              <w:t>Na koncie 130 (w korespondencji z kontem 720) ujmuje  się również dochody budżetu jst nieujęte w planach finansowych innych samorządowych jednostek budżetowych.</w:t>
            </w:r>
          </w:p>
        </w:tc>
        <w:tc>
          <w:tcPr>
            <w:tcW w:w="2127" w:type="dxa"/>
            <w:tcBorders>
              <w:bottom w:val="nil"/>
            </w:tcBorders>
          </w:tcPr>
          <w:p w:rsidR="007314CE" w:rsidRPr="009C2097" w:rsidRDefault="007314CE" w:rsidP="00C46623">
            <w:pPr>
              <w:ind w:firstLine="0"/>
              <w:jc w:val="both"/>
              <w:rPr>
                <w:rFonts w:cs="Times New Roman"/>
                <w:sz w:val="20"/>
                <w:szCs w:val="20"/>
              </w:rPr>
            </w:pPr>
            <w:r w:rsidRPr="009C2097">
              <w:rPr>
                <w:rFonts w:cs="Times New Roman"/>
                <w:sz w:val="20"/>
                <w:szCs w:val="20"/>
              </w:rPr>
              <w:t>Rachunki bieżące odrębne dla wydatków i dochodów</w:t>
            </w:r>
          </w:p>
          <w:p w:rsidR="007314CE" w:rsidRPr="009C2097" w:rsidRDefault="007314CE" w:rsidP="00C46623">
            <w:pPr>
              <w:ind w:firstLine="0"/>
              <w:jc w:val="both"/>
              <w:rPr>
                <w:rFonts w:cs="Times New Roman"/>
                <w:sz w:val="20"/>
                <w:szCs w:val="20"/>
              </w:rPr>
            </w:pPr>
            <w:r w:rsidRPr="009C2097">
              <w:rPr>
                <w:rFonts w:cs="Times New Roman"/>
                <w:sz w:val="20"/>
                <w:szCs w:val="20"/>
              </w:rPr>
              <w:t xml:space="preserve">Ewidencja szczegółowa prowadzona w szczegółowości planu finansowego dochodów i wydatków budżetowych. </w:t>
            </w:r>
          </w:p>
        </w:tc>
      </w:tr>
      <w:tr w:rsidR="007314CE" w:rsidRPr="009C2097" w:rsidTr="00C46623">
        <w:trPr>
          <w:trHeight w:val="366"/>
        </w:trPr>
        <w:tc>
          <w:tcPr>
            <w:tcW w:w="943" w:type="dxa"/>
            <w:tcBorders>
              <w:top w:val="nil"/>
            </w:tcBorders>
          </w:tcPr>
          <w:p w:rsidR="007314CE" w:rsidRPr="009C2097" w:rsidRDefault="007314CE" w:rsidP="00C46623">
            <w:pPr>
              <w:ind w:firstLine="0"/>
              <w:jc w:val="center"/>
              <w:rPr>
                <w:rFonts w:cs="Times New Roman"/>
                <w:b/>
                <w:sz w:val="28"/>
                <w:szCs w:val="28"/>
              </w:rPr>
            </w:pPr>
          </w:p>
        </w:tc>
        <w:tc>
          <w:tcPr>
            <w:tcW w:w="992" w:type="dxa"/>
            <w:tcBorders>
              <w:top w:val="nil"/>
            </w:tcBorders>
          </w:tcPr>
          <w:p w:rsidR="007314CE" w:rsidRPr="009C2097" w:rsidRDefault="007314CE" w:rsidP="00C46623">
            <w:pPr>
              <w:ind w:left="5" w:right="-3" w:firstLine="0"/>
              <w:jc w:val="center"/>
              <w:rPr>
                <w:rFonts w:cs="Times New Roman"/>
                <w:b/>
                <w:sz w:val="28"/>
                <w:szCs w:val="28"/>
              </w:rPr>
            </w:pPr>
          </w:p>
        </w:tc>
        <w:tc>
          <w:tcPr>
            <w:tcW w:w="1635" w:type="dxa"/>
            <w:tcBorders>
              <w:top w:val="nil"/>
            </w:tcBorders>
          </w:tcPr>
          <w:p w:rsidR="007314CE" w:rsidRPr="009C2097" w:rsidRDefault="007314CE" w:rsidP="00C46623">
            <w:pPr>
              <w:ind w:firstLine="0"/>
              <w:jc w:val="both"/>
              <w:rPr>
                <w:rFonts w:cs="Times New Roman"/>
                <w:sz w:val="20"/>
                <w:szCs w:val="20"/>
              </w:rPr>
            </w:pPr>
          </w:p>
        </w:tc>
        <w:tc>
          <w:tcPr>
            <w:tcW w:w="3261" w:type="dxa"/>
            <w:tcBorders>
              <w:top w:val="nil"/>
            </w:tcBorders>
          </w:tcPr>
          <w:p w:rsidR="007314CE" w:rsidRPr="009C2097" w:rsidRDefault="007314CE" w:rsidP="00C46623">
            <w:pPr>
              <w:ind w:firstLine="0"/>
              <w:jc w:val="both"/>
              <w:rPr>
                <w:rFonts w:cs="Times New Roman"/>
                <w:sz w:val="20"/>
                <w:szCs w:val="20"/>
              </w:rPr>
            </w:pPr>
            <w:r w:rsidRPr="009C2097">
              <w:rPr>
                <w:rFonts w:cs="Times New Roman"/>
                <w:sz w:val="20"/>
                <w:szCs w:val="20"/>
              </w:rPr>
              <w:t>Zapisy z tego tytułu  dokonuje się  na koniec okresu sprawozdawczego, na podstawie dowodu wewnętrznego PK  jako zbiorcze księgowanie równowartości dochodów na podstawie wykonania z ewidencji budżetu (  konto 901) – stany klasyfikacji dochodów. Saldo konta 130 w zakresie dochodów budżetu jst  podlega okresowemu przeksięgowaniu na podstawie sprawozdań budżetowych na stronę Wn konta 800.</w:t>
            </w:r>
          </w:p>
        </w:tc>
        <w:tc>
          <w:tcPr>
            <w:tcW w:w="2127" w:type="dxa"/>
            <w:tcBorders>
              <w:top w:val="nil"/>
            </w:tcBorders>
          </w:tcPr>
          <w:p w:rsidR="007314CE" w:rsidRPr="009C2097" w:rsidRDefault="007314CE" w:rsidP="00C46623">
            <w:pPr>
              <w:ind w:firstLine="0"/>
              <w:jc w:val="both"/>
              <w:rPr>
                <w:rFonts w:cs="Times New Roman"/>
                <w:sz w:val="20"/>
                <w:szCs w:val="20"/>
              </w:rPr>
            </w:pPr>
          </w:p>
        </w:tc>
      </w:tr>
      <w:tr w:rsidR="007314CE" w:rsidRPr="009C2097" w:rsidTr="00C46623">
        <w:trPr>
          <w:trHeight w:val="366"/>
        </w:trPr>
        <w:tc>
          <w:tcPr>
            <w:tcW w:w="943"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135</w:t>
            </w:r>
          </w:p>
        </w:tc>
        <w:tc>
          <w:tcPr>
            <w:tcW w:w="1635" w:type="dxa"/>
          </w:tcPr>
          <w:p w:rsidR="007314CE" w:rsidRPr="009C2097" w:rsidRDefault="007314CE" w:rsidP="00C46623">
            <w:pPr>
              <w:ind w:firstLine="0"/>
              <w:jc w:val="both"/>
              <w:rPr>
                <w:rFonts w:cs="Times New Roman"/>
                <w:sz w:val="20"/>
                <w:szCs w:val="20"/>
              </w:rPr>
            </w:pPr>
            <w:r w:rsidRPr="009C2097">
              <w:rPr>
                <w:rFonts w:cs="Times New Roman"/>
                <w:sz w:val="20"/>
                <w:szCs w:val="20"/>
              </w:rPr>
              <w:t xml:space="preserve">Rachunek środków funduszy specjalnego </w:t>
            </w:r>
            <w:r w:rsidRPr="009C2097">
              <w:rPr>
                <w:rFonts w:cs="Times New Roman"/>
                <w:sz w:val="20"/>
                <w:szCs w:val="20"/>
              </w:rPr>
              <w:lastRenderedPageBreak/>
              <w:t>przeznaczenia</w:t>
            </w:r>
          </w:p>
        </w:tc>
        <w:tc>
          <w:tcPr>
            <w:tcW w:w="3261" w:type="dxa"/>
          </w:tcPr>
          <w:p w:rsidR="007314CE" w:rsidRPr="009C2097" w:rsidRDefault="007314CE" w:rsidP="00C46623">
            <w:pPr>
              <w:ind w:firstLine="0"/>
              <w:rPr>
                <w:rFonts w:cs="Times New Roman"/>
                <w:sz w:val="20"/>
                <w:szCs w:val="20"/>
              </w:rPr>
            </w:pPr>
            <w:r w:rsidRPr="009C2097">
              <w:rPr>
                <w:rFonts w:cs="Times New Roman"/>
                <w:sz w:val="20"/>
                <w:szCs w:val="20"/>
              </w:rPr>
              <w:lastRenderedPageBreak/>
              <w:t xml:space="preserve">Ewidencja środków funduszy specjalnego przeznaczenia, a w szczególności zakładowego funduszu świadczeń socjalnych </w:t>
            </w:r>
            <w:r w:rsidRPr="009C2097">
              <w:rPr>
                <w:rFonts w:cs="Times New Roman"/>
                <w:sz w:val="20"/>
                <w:szCs w:val="20"/>
              </w:rPr>
              <w:lastRenderedPageBreak/>
              <w:t>i innych  funduszy, którymi dysponuje jednostka.</w:t>
            </w:r>
          </w:p>
        </w:tc>
        <w:tc>
          <w:tcPr>
            <w:tcW w:w="2127" w:type="dxa"/>
          </w:tcPr>
          <w:p w:rsidR="007314CE" w:rsidRPr="009C2097" w:rsidRDefault="007314CE" w:rsidP="00C46623">
            <w:pPr>
              <w:ind w:firstLine="0"/>
              <w:rPr>
                <w:rFonts w:cs="Times New Roman"/>
                <w:sz w:val="20"/>
                <w:szCs w:val="20"/>
              </w:rPr>
            </w:pPr>
            <w:r w:rsidRPr="009C2097">
              <w:rPr>
                <w:rFonts w:cs="Times New Roman"/>
                <w:sz w:val="20"/>
                <w:szCs w:val="20"/>
              </w:rPr>
              <w:lastRenderedPageBreak/>
              <w:t xml:space="preserve">Ewidencja szczegółowa umożliwia ustalenie  stanu środków każdego </w:t>
            </w:r>
            <w:r w:rsidRPr="009C2097">
              <w:rPr>
                <w:rFonts w:cs="Times New Roman"/>
                <w:sz w:val="20"/>
                <w:szCs w:val="20"/>
              </w:rPr>
              <w:lastRenderedPageBreak/>
              <w:t>funduszu.</w:t>
            </w:r>
          </w:p>
        </w:tc>
      </w:tr>
    </w:tbl>
    <w:tbl>
      <w:tblPr>
        <w:tblpPr w:leftFromText="141" w:rightFromText="141" w:vertAnchor="text" w:horzAnchor="page" w:tblpX="2093" w:tblpY="1861"/>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92"/>
        <w:gridCol w:w="1376"/>
        <w:gridCol w:w="3118"/>
        <w:gridCol w:w="2311"/>
      </w:tblGrid>
      <w:tr w:rsidR="007314CE" w:rsidRPr="009C2097" w:rsidTr="00C46623">
        <w:trPr>
          <w:trHeight w:val="366"/>
        </w:trPr>
        <w:tc>
          <w:tcPr>
            <w:tcW w:w="921"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139</w:t>
            </w:r>
          </w:p>
        </w:tc>
        <w:tc>
          <w:tcPr>
            <w:tcW w:w="1376" w:type="dxa"/>
          </w:tcPr>
          <w:p w:rsidR="007314CE" w:rsidRPr="009C2097" w:rsidRDefault="007314CE" w:rsidP="00C46623">
            <w:pPr>
              <w:ind w:firstLine="0"/>
              <w:rPr>
                <w:rFonts w:cs="Times New Roman"/>
                <w:sz w:val="20"/>
                <w:szCs w:val="20"/>
              </w:rPr>
            </w:pPr>
            <w:r w:rsidRPr="009C2097">
              <w:rPr>
                <w:rFonts w:cs="Times New Roman"/>
                <w:sz w:val="20"/>
                <w:szCs w:val="20"/>
              </w:rPr>
              <w:t xml:space="preserve">Inne rachunki bankowe </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operacji dotyczących środków pieniężnych wydzielonych na innych rachunkach bankowych niż rachunki bieżące, w tym na rachunkach pomocniczych i rachunkach specjalnego przeznaczenia.</w:t>
            </w:r>
          </w:p>
          <w:p w:rsidR="007314CE" w:rsidRPr="00524E59" w:rsidRDefault="007314CE" w:rsidP="00C46623">
            <w:pPr>
              <w:ind w:firstLine="0"/>
              <w:jc w:val="both"/>
              <w:rPr>
                <w:rFonts w:cs="Times New Roman"/>
                <w:sz w:val="20"/>
                <w:szCs w:val="20"/>
              </w:rPr>
            </w:pPr>
            <w:bookmarkStart w:id="0" w:name="_GoBack"/>
            <w:r w:rsidRPr="00524E59">
              <w:rPr>
                <w:rFonts w:cs="Times New Roman"/>
                <w:sz w:val="20"/>
                <w:szCs w:val="20"/>
              </w:rPr>
              <w:t xml:space="preserve">Na koncie 139 ewidencjonuje się  </w:t>
            </w:r>
            <w:r w:rsidRPr="00524E59">
              <w:rPr>
                <w:sz w:val="20"/>
                <w:szCs w:val="20"/>
              </w:rPr>
              <w:t>w szczególności</w:t>
            </w:r>
            <w:r w:rsidR="00337B38" w:rsidRPr="00524E59">
              <w:rPr>
                <w:rFonts w:cs="Times New Roman"/>
                <w:sz w:val="20"/>
                <w:szCs w:val="20"/>
              </w:rPr>
              <w:t xml:space="preserve"> stan i obrót środków pieniężnych </w:t>
            </w:r>
            <w:r w:rsidRPr="00524E59">
              <w:rPr>
                <w:rFonts w:cs="Times New Roman"/>
                <w:sz w:val="20"/>
                <w:szCs w:val="20"/>
              </w:rPr>
              <w:t xml:space="preserve"> wadiów, zabezpieczenia należyt</w:t>
            </w:r>
            <w:r w:rsidR="00337B38" w:rsidRPr="00524E59">
              <w:rPr>
                <w:rFonts w:cs="Times New Roman"/>
                <w:sz w:val="20"/>
                <w:szCs w:val="20"/>
              </w:rPr>
              <w:t xml:space="preserve">ego wykonania umowy, </w:t>
            </w:r>
            <w:r w:rsidRPr="00524E59">
              <w:rPr>
                <w:rFonts w:cs="Times New Roman"/>
                <w:sz w:val="20"/>
                <w:szCs w:val="20"/>
              </w:rPr>
              <w:t xml:space="preserve"> Biura Rzeczy Znalezionych oraz środki </w:t>
            </w:r>
            <w:r w:rsidR="00337B38" w:rsidRPr="00524E59">
              <w:rPr>
                <w:rFonts w:cs="Times New Roman"/>
                <w:sz w:val="20"/>
                <w:szCs w:val="20"/>
              </w:rPr>
              <w:t>o charakterze pozabudżetowyn</w:t>
            </w:r>
            <w:r w:rsidRPr="00524E59">
              <w:rPr>
                <w:rFonts w:cs="Times New Roman"/>
                <w:sz w:val="20"/>
                <w:szCs w:val="20"/>
              </w:rPr>
              <w:t xml:space="preserve"> (</w:t>
            </w:r>
            <w:r w:rsidR="00337B38" w:rsidRPr="00524E59">
              <w:rPr>
                <w:rFonts w:cs="Times New Roman"/>
                <w:sz w:val="20"/>
                <w:szCs w:val="20"/>
              </w:rPr>
              <w:t xml:space="preserve">m. in </w:t>
            </w:r>
            <w:r w:rsidR="006B4174" w:rsidRPr="00524E59">
              <w:rPr>
                <w:rFonts w:cs="Times New Roman"/>
                <w:sz w:val="20"/>
                <w:szCs w:val="20"/>
              </w:rPr>
              <w:t>PFRON, Fundusz Solidarnościowy)</w:t>
            </w:r>
          </w:p>
          <w:bookmarkEnd w:id="0"/>
          <w:p w:rsidR="007314CE" w:rsidRPr="009C2097" w:rsidRDefault="007314CE" w:rsidP="00C46623">
            <w:pPr>
              <w:ind w:firstLine="0"/>
              <w:jc w:val="both"/>
              <w:rPr>
                <w:rFonts w:cs="Times New Roman"/>
                <w:sz w:val="20"/>
                <w:szCs w:val="20"/>
              </w:rPr>
            </w:pPr>
            <w:r w:rsidRPr="009C2097">
              <w:rPr>
                <w:rFonts w:cs="Times New Roman"/>
                <w:sz w:val="20"/>
                <w:szCs w:val="20"/>
              </w:rPr>
              <w:t>Zapisy na koncie 139 są dokonywane na podstawie dokumentów bankowych.</w:t>
            </w:r>
          </w:p>
        </w:tc>
        <w:tc>
          <w:tcPr>
            <w:tcW w:w="2311"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szczegółowa powinna zapewnić ustalenie stanu środków pieniężnych dla każdego wydzielonego rachunku bankowego, a także powinna zapewnić sprostanie obowiązkom sprawozdawczym</w:t>
            </w:r>
          </w:p>
        </w:tc>
      </w:tr>
      <w:tr w:rsidR="007314CE" w:rsidRPr="009C2097" w:rsidTr="00C46623">
        <w:trPr>
          <w:trHeight w:val="366"/>
        </w:trPr>
        <w:tc>
          <w:tcPr>
            <w:tcW w:w="921"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140</w:t>
            </w:r>
          </w:p>
        </w:tc>
        <w:tc>
          <w:tcPr>
            <w:tcW w:w="1376" w:type="dxa"/>
          </w:tcPr>
          <w:p w:rsidR="007314CE" w:rsidRPr="009C2097" w:rsidRDefault="007314CE" w:rsidP="00C46623">
            <w:pPr>
              <w:ind w:firstLine="0"/>
              <w:jc w:val="both"/>
              <w:rPr>
                <w:rFonts w:cs="Times New Roman"/>
                <w:sz w:val="20"/>
                <w:szCs w:val="20"/>
              </w:rPr>
            </w:pPr>
            <w:r w:rsidRPr="009C2097">
              <w:rPr>
                <w:rFonts w:cs="Times New Roman"/>
                <w:sz w:val="20"/>
                <w:szCs w:val="20"/>
              </w:rPr>
              <w:t>Krótkoterminowe aktywa finansowe</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krótkoterminowych aktywów finansowych, w szczególności akcji, udziałów i innych papierów wartościowych wyrażonych zarówno w walucie polskiej, jak też w walutach obcych oraz wartości krótkoterminowych aktywów finansowych powierzonych poszczególnym osobom  za nie odpowiedzialnym</w:t>
            </w:r>
          </w:p>
        </w:tc>
        <w:tc>
          <w:tcPr>
            <w:tcW w:w="2311"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szczegółowa powinna umożliwiać ustalenie poszczególnych składników krótkoterminowych aktywów finansowych, wyrażonego w walucie polskiej i obcej, z podziałem na poszczególne waluty obce</w:t>
            </w:r>
          </w:p>
        </w:tc>
      </w:tr>
      <w:tr w:rsidR="007314CE" w:rsidRPr="009C2097" w:rsidTr="00C46623">
        <w:trPr>
          <w:trHeight w:val="366"/>
        </w:trPr>
        <w:tc>
          <w:tcPr>
            <w:tcW w:w="921" w:type="dxa"/>
          </w:tcPr>
          <w:p w:rsidR="007314CE" w:rsidRPr="009C2097" w:rsidRDefault="007314CE" w:rsidP="00C46623">
            <w:pPr>
              <w:ind w:firstLine="0"/>
              <w:jc w:val="center"/>
              <w:rPr>
                <w:rFonts w:cs="Times New Roman"/>
                <w:b/>
                <w:sz w:val="28"/>
                <w:szCs w:val="28"/>
              </w:rPr>
            </w:pPr>
            <w:r w:rsidRPr="009C2097">
              <w:br w:type="page"/>
            </w:r>
          </w:p>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141</w:t>
            </w:r>
          </w:p>
        </w:tc>
        <w:tc>
          <w:tcPr>
            <w:tcW w:w="1376" w:type="dxa"/>
          </w:tcPr>
          <w:p w:rsidR="007314CE" w:rsidRPr="009C2097" w:rsidRDefault="007314CE" w:rsidP="00C46623">
            <w:pPr>
              <w:ind w:firstLine="0"/>
              <w:jc w:val="both"/>
              <w:rPr>
                <w:rFonts w:cs="Times New Roman"/>
                <w:sz w:val="20"/>
                <w:szCs w:val="20"/>
              </w:rPr>
            </w:pPr>
            <w:r w:rsidRPr="009C2097">
              <w:rPr>
                <w:rFonts w:cs="Times New Roman"/>
                <w:sz w:val="20"/>
                <w:szCs w:val="20"/>
              </w:rPr>
              <w:t xml:space="preserve">Środki pieniężne w drodze </w:t>
            </w:r>
          </w:p>
        </w:tc>
        <w:tc>
          <w:tcPr>
            <w:tcW w:w="3118" w:type="dxa"/>
          </w:tcPr>
          <w:p w:rsidR="007314CE" w:rsidRPr="009C2097" w:rsidRDefault="007314CE" w:rsidP="00C46623">
            <w:pPr>
              <w:ind w:firstLine="0"/>
              <w:rPr>
                <w:rFonts w:cs="Times New Roman"/>
                <w:sz w:val="20"/>
                <w:szCs w:val="20"/>
              </w:rPr>
            </w:pPr>
            <w:r w:rsidRPr="009C2097">
              <w:rPr>
                <w:rFonts w:cs="Times New Roman"/>
                <w:sz w:val="20"/>
                <w:szCs w:val="20"/>
              </w:rPr>
              <w:t>Służy do ewidenc</w:t>
            </w:r>
            <w:r>
              <w:rPr>
                <w:rFonts w:cs="Times New Roman"/>
                <w:sz w:val="20"/>
                <w:szCs w:val="20"/>
              </w:rPr>
              <w:t xml:space="preserve">ji środków pieniężnych w drodze </w:t>
            </w:r>
            <w:r w:rsidRPr="00056EF5">
              <w:rPr>
                <w:rFonts w:cs="Times New Roman"/>
                <w:sz w:val="20"/>
                <w:szCs w:val="20"/>
              </w:rPr>
              <w:t>na przełomie okresu sprawozdawczego.</w:t>
            </w:r>
          </w:p>
        </w:tc>
        <w:tc>
          <w:tcPr>
            <w:tcW w:w="2311" w:type="dxa"/>
          </w:tcPr>
          <w:p w:rsidR="007314CE" w:rsidRPr="009C2097" w:rsidRDefault="007314CE" w:rsidP="00C46623">
            <w:pPr>
              <w:ind w:firstLine="0"/>
              <w:jc w:val="both"/>
              <w:rPr>
                <w:rFonts w:cs="Times New Roman"/>
                <w:sz w:val="20"/>
                <w:szCs w:val="20"/>
              </w:rPr>
            </w:pPr>
          </w:p>
        </w:tc>
      </w:tr>
      <w:tr w:rsidR="007314CE" w:rsidRPr="009C2097" w:rsidTr="00C46623">
        <w:trPr>
          <w:trHeight w:val="470"/>
        </w:trPr>
        <w:tc>
          <w:tcPr>
            <w:tcW w:w="921" w:type="dxa"/>
          </w:tcPr>
          <w:p w:rsidR="007314CE" w:rsidRPr="009C2097" w:rsidRDefault="007314CE" w:rsidP="00C46623">
            <w:pPr>
              <w:ind w:firstLine="0"/>
              <w:jc w:val="center"/>
              <w:rPr>
                <w:rFonts w:cs="Times New Roman"/>
                <w:b/>
                <w:sz w:val="28"/>
                <w:szCs w:val="28"/>
              </w:rPr>
            </w:pPr>
            <w:r w:rsidRPr="009C2097">
              <w:rPr>
                <w:rFonts w:cs="Times New Roman"/>
                <w:b/>
                <w:sz w:val="28"/>
                <w:szCs w:val="28"/>
              </w:rPr>
              <w:t>2</w:t>
            </w:r>
          </w:p>
        </w:tc>
        <w:tc>
          <w:tcPr>
            <w:tcW w:w="7797" w:type="dxa"/>
            <w:gridSpan w:val="4"/>
          </w:tcPr>
          <w:p w:rsidR="007314CE" w:rsidRPr="009C2097" w:rsidRDefault="007314CE" w:rsidP="00C46623">
            <w:pPr>
              <w:ind w:firstLine="0"/>
              <w:jc w:val="center"/>
              <w:rPr>
                <w:rFonts w:cs="Times New Roman"/>
                <w:sz w:val="20"/>
                <w:szCs w:val="20"/>
              </w:rPr>
            </w:pPr>
            <w:r w:rsidRPr="009C2097">
              <w:rPr>
                <w:rFonts w:cs="Times New Roman"/>
                <w:b/>
                <w:sz w:val="28"/>
                <w:szCs w:val="28"/>
              </w:rPr>
              <w:t>Rozrachunki i rozliczenia</w:t>
            </w:r>
          </w:p>
        </w:tc>
      </w:tr>
      <w:tr w:rsidR="007314CE" w:rsidRPr="009C2097" w:rsidTr="00C46623">
        <w:trPr>
          <w:trHeight w:val="366"/>
        </w:trPr>
        <w:tc>
          <w:tcPr>
            <w:tcW w:w="921"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201</w:t>
            </w:r>
          </w:p>
        </w:tc>
        <w:tc>
          <w:tcPr>
            <w:tcW w:w="1376" w:type="dxa"/>
          </w:tcPr>
          <w:p w:rsidR="007314CE" w:rsidRPr="009C2097" w:rsidRDefault="007314CE" w:rsidP="00C46623">
            <w:pPr>
              <w:ind w:firstLine="0"/>
              <w:jc w:val="both"/>
              <w:rPr>
                <w:rFonts w:cs="Times New Roman"/>
                <w:sz w:val="20"/>
                <w:szCs w:val="20"/>
              </w:rPr>
            </w:pPr>
            <w:r w:rsidRPr="009C2097">
              <w:rPr>
                <w:rFonts w:cs="Times New Roman"/>
                <w:sz w:val="20"/>
                <w:szCs w:val="20"/>
              </w:rPr>
              <w:t>Rozrachunki z odbiorcami i dostawcami</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 xml:space="preserve">Ewidencja rozrachunków i roszczeń krajowych i zagranicznych  z tytułu dostaw, robót i usług, w tym również zaliczek na poczet dostaw, robót i usług oraz kaucji gwarancyjnych, a także należności </w:t>
            </w:r>
            <w:r w:rsidRPr="009C2097">
              <w:rPr>
                <w:rFonts w:cs="Times New Roman"/>
                <w:sz w:val="20"/>
                <w:szCs w:val="20"/>
              </w:rPr>
              <w:lastRenderedPageBreak/>
              <w:t>z tytułu przychodów finansowych. Na koncie 201 nie ujmuje się należności jednostki zaliczanych do dochodów budżetowych, które ujmowane  są na koncie 221</w:t>
            </w:r>
          </w:p>
        </w:tc>
        <w:tc>
          <w:tcPr>
            <w:tcW w:w="2311" w:type="dxa"/>
          </w:tcPr>
          <w:p w:rsidR="007314CE" w:rsidRPr="009C2097" w:rsidRDefault="007314CE" w:rsidP="00C46623">
            <w:pPr>
              <w:ind w:firstLine="0"/>
              <w:jc w:val="both"/>
              <w:rPr>
                <w:rFonts w:cs="Times New Roman"/>
                <w:sz w:val="20"/>
                <w:szCs w:val="20"/>
              </w:rPr>
            </w:pPr>
            <w:r w:rsidRPr="009C2097">
              <w:rPr>
                <w:rFonts w:cs="Times New Roman"/>
                <w:sz w:val="20"/>
                <w:szCs w:val="20"/>
              </w:rPr>
              <w:lastRenderedPageBreak/>
              <w:t xml:space="preserve">Ewidencja zapewnia ustalenie należności i zobowiązań według poszczególnych kontrahentów </w:t>
            </w:r>
          </w:p>
        </w:tc>
      </w:tr>
    </w:tbl>
    <w:tbl>
      <w:tblPr>
        <w:tblpPr w:leftFromText="141" w:rightFromText="141" w:vertAnchor="text" w:horzAnchor="page" w:tblpX="2051" w:tblpY="2549"/>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992"/>
        <w:gridCol w:w="1777"/>
        <w:gridCol w:w="3118"/>
        <w:gridCol w:w="2311"/>
      </w:tblGrid>
      <w:tr w:rsidR="007314CE" w:rsidRPr="009C2097" w:rsidTr="00C46623">
        <w:trPr>
          <w:trHeight w:val="366"/>
        </w:trPr>
        <w:tc>
          <w:tcPr>
            <w:tcW w:w="80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221</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Należności z tytułu dochodów budżetowych</w:t>
            </w:r>
          </w:p>
        </w:tc>
        <w:tc>
          <w:tcPr>
            <w:tcW w:w="3118" w:type="dxa"/>
          </w:tcPr>
          <w:p w:rsidR="007314CE" w:rsidRPr="009C2097" w:rsidRDefault="007314CE" w:rsidP="00C46623">
            <w:pPr>
              <w:ind w:firstLine="0"/>
              <w:rPr>
                <w:rFonts w:cs="Times New Roman"/>
                <w:sz w:val="20"/>
                <w:szCs w:val="20"/>
              </w:rPr>
            </w:pPr>
            <w:r w:rsidRPr="009C2097">
              <w:rPr>
                <w:rFonts w:cs="Times New Roman"/>
                <w:sz w:val="20"/>
                <w:szCs w:val="20"/>
              </w:rPr>
              <w:t>Ewidencja należności jednostki z tytułu dochodów budżetowych</w:t>
            </w:r>
          </w:p>
          <w:p w:rsidR="007314CE" w:rsidRPr="009C2097" w:rsidRDefault="007314CE" w:rsidP="00C46623">
            <w:pPr>
              <w:ind w:firstLine="0"/>
              <w:jc w:val="center"/>
              <w:rPr>
                <w:rFonts w:cs="Times New Roman"/>
                <w:sz w:val="20"/>
                <w:szCs w:val="20"/>
                <w:highlight w:val="yellow"/>
              </w:rPr>
            </w:pPr>
          </w:p>
        </w:tc>
        <w:tc>
          <w:tcPr>
            <w:tcW w:w="2311" w:type="dxa"/>
          </w:tcPr>
          <w:p w:rsidR="007314CE" w:rsidRPr="009C2097" w:rsidRDefault="007314CE" w:rsidP="00C46623">
            <w:pPr>
              <w:ind w:firstLine="0"/>
              <w:rPr>
                <w:rFonts w:cs="Times New Roman"/>
                <w:sz w:val="20"/>
                <w:szCs w:val="20"/>
                <w:highlight w:val="yellow"/>
              </w:rPr>
            </w:pPr>
            <w:r w:rsidRPr="009C2097">
              <w:rPr>
                <w:rFonts w:cs="Times New Roman"/>
                <w:sz w:val="20"/>
                <w:szCs w:val="20"/>
              </w:rPr>
              <w:t>Ewidencja wg dłużników i podziałek klasyfikacji budżetowej oraz budżetów których należności  dotyczą.  Odrębnie prowadzona jest ewidencja dochodów pobieranych w związku z realizacją zadań zleconych, finansowanych z budżetu państwa, w tym ewidencja szczegółowa użytkowników wieczystych w programie Księgowość zobowiązań</w:t>
            </w:r>
          </w:p>
        </w:tc>
      </w:tr>
      <w:tr w:rsidR="007314CE" w:rsidRPr="009C2097" w:rsidTr="00C46623">
        <w:trPr>
          <w:trHeight w:val="366"/>
        </w:trPr>
        <w:tc>
          <w:tcPr>
            <w:tcW w:w="80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222</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Rozliczenie dochodów budżetowych</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rozliczenia zrealizowanych przez jednostkę dochodów budżetowych.</w:t>
            </w:r>
          </w:p>
          <w:p w:rsidR="007314CE" w:rsidRPr="009C2097" w:rsidRDefault="007314CE" w:rsidP="00C46623">
            <w:pPr>
              <w:ind w:firstLine="0"/>
              <w:jc w:val="both"/>
              <w:rPr>
                <w:rFonts w:cs="Times New Roman"/>
                <w:sz w:val="20"/>
                <w:szCs w:val="20"/>
              </w:rPr>
            </w:pPr>
          </w:p>
        </w:tc>
        <w:tc>
          <w:tcPr>
            <w:tcW w:w="2311" w:type="dxa"/>
          </w:tcPr>
          <w:p w:rsidR="007314CE" w:rsidRPr="009C2097" w:rsidRDefault="007314CE" w:rsidP="00C46623">
            <w:pPr>
              <w:ind w:firstLine="0"/>
              <w:jc w:val="both"/>
              <w:rPr>
                <w:rFonts w:cs="Times New Roman"/>
                <w:sz w:val="20"/>
                <w:szCs w:val="20"/>
              </w:rPr>
            </w:pPr>
          </w:p>
        </w:tc>
      </w:tr>
      <w:tr w:rsidR="007314CE" w:rsidRPr="009C2097" w:rsidTr="00C46623">
        <w:trPr>
          <w:trHeight w:val="366"/>
        </w:trPr>
        <w:tc>
          <w:tcPr>
            <w:tcW w:w="80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223</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Rozliczenie wydatków budżetowych</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rozliczenia zrealizowanych przez jednostkę wydatków budżetowych, w tym wydatków w ramach współfinansowania programów i projektów realizowanych ze środków europejskich</w:t>
            </w:r>
          </w:p>
        </w:tc>
        <w:tc>
          <w:tcPr>
            <w:tcW w:w="2311" w:type="dxa"/>
          </w:tcPr>
          <w:p w:rsidR="007314CE" w:rsidRPr="009C2097" w:rsidRDefault="007314CE" w:rsidP="00C46623">
            <w:pPr>
              <w:ind w:firstLine="0"/>
              <w:jc w:val="both"/>
              <w:rPr>
                <w:rFonts w:cs="Times New Roman"/>
                <w:sz w:val="20"/>
                <w:szCs w:val="20"/>
              </w:rPr>
            </w:pPr>
          </w:p>
        </w:tc>
      </w:tr>
      <w:tr w:rsidR="007314CE" w:rsidRPr="009C2097" w:rsidTr="00C46623">
        <w:trPr>
          <w:trHeight w:val="366"/>
        </w:trPr>
        <w:tc>
          <w:tcPr>
            <w:tcW w:w="804" w:type="dxa"/>
          </w:tcPr>
          <w:p w:rsidR="007314CE" w:rsidRPr="009C2097" w:rsidRDefault="007314CE" w:rsidP="00C46623">
            <w:pPr>
              <w:ind w:firstLine="0"/>
              <w:jc w:val="center"/>
              <w:rPr>
                <w:rFonts w:cs="Times New Roman"/>
                <w:b/>
                <w:sz w:val="28"/>
                <w:szCs w:val="28"/>
              </w:rPr>
            </w:pPr>
            <w:r w:rsidRPr="009C2097">
              <w:br w:type="page"/>
            </w: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224</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Rozliczenie dotacji budżetowych oraz płatności z budżetu środków europejskich</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Służy do ewidencji rozliczenia przekazanych przez organ  dotacji budżetowych.</w:t>
            </w:r>
          </w:p>
        </w:tc>
        <w:tc>
          <w:tcPr>
            <w:tcW w:w="2311" w:type="dxa"/>
          </w:tcPr>
          <w:p w:rsidR="007314CE" w:rsidRPr="009C2097" w:rsidRDefault="007314CE" w:rsidP="00C46623">
            <w:pPr>
              <w:ind w:firstLine="0"/>
              <w:rPr>
                <w:rFonts w:cs="Times New Roman"/>
                <w:sz w:val="20"/>
                <w:szCs w:val="20"/>
              </w:rPr>
            </w:pPr>
            <w:r w:rsidRPr="009C2097">
              <w:rPr>
                <w:rFonts w:cs="Times New Roman"/>
                <w:sz w:val="20"/>
                <w:szCs w:val="20"/>
              </w:rPr>
              <w:t>Ewidencja szczegółowa zapewnia ustalenie wartości przekazanych dotacji, według jednostek oraz przeznaczenia dotacji</w:t>
            </w:r>
          </w:p>
        </w:tc>
      </w:tr>
      <w:tr w:rsidR="007314CE" w:rsidRPr="009C2097" w:rsidTr="00C46623">
        <w:trPr>
          <w:trHeight w:val="366"/>
        </w:trPr>
        <w:tc>
          <w:tcPr>
            <w:tcW w:w="80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225</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Rozrachunki z budżetami</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rozrachunków z budżetami, w szczególności z tytułu podatków, nadpłat w rozliczeniach z budżetami</w:t>
            </w:r>
          </w:p>
        </w:tc>
        <w:tc>
          <w:tcPr>
            <w:tcW w:w="2311" w:type="dxa"/>
          </w:tcPr>
          <w:p w:rsidR="007314CE" w:rsidRPr="009C2097" w:rsidRDefault="007314CE" w:rsidP="00C46623">
            <w:pPr>
              <w:ind w:firstLine="0"/>
              <w:rPr>
                <w:rFonts w:cs="Times New Roman"/>
                <w:sz w:val="20"/>
                <w:szCs w:val="20"/>
              </w:rPr>
            </w:pPr>
            <w:r w:rsidRPr="009C2097">
              <w:rPr>
                <w:rFonts w:cs="Times New Roman"/>
                <w:sz w:val="20"/>
                <w:szCs w:val="20"/>
              </w:rPr>
              <w:t>Ewidencja szczegółowa zapewnia ustalenie stanu należności i zobowiązań wg każdego z tytułów rozrachunków z budżetem odrębnie</w:t>
            </w:r>
          </w:p>
        </w:tc>
      </w:tr>
    </w:tbl>
    <w:p w:rsidR="007314CE" w:rsidRPr="009C2097" w:rsidRDefault="007314CE" w:rsidP="007314CE">
      <w:r w:rsidRPr="009C2097">
        <w:br w:type="page"/>
      </w:r>
    </w:p>
    <w:tbl>
      <w:tblPr>
        <w:tblpPr w:leftFromText="141" w:rightFromText="141" w:vertAnchor="text" w:horzAnchor="page" w:tblpX="1881" w:tblpY="-645"/>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
        <w:gridCol w:w="992"/>
        <w:gridCol w:w="1777"/>
        <w:gridCol w:w="3118"/>
        <w:gridCol w:w="2127"/>
      </w:tblGrid>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226</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Długoterminowe należności budżetowe</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długoterminowych należności lub długoterminowych rozliczeń z budżetem</w:t>
            </w:r>
          </w:p>
        </w:tc>
        <w:tc>
          <w:tcPr>
            <w:tcW w:w="2127" w:type="dxa"/>
          </w:tcPr>
          <w:p w:rsidR="007314CE" w:rsidRPr="009C2097" w:rsidRDefault="007314CE" w:rsidP="00C46623">
            <w:pPr>
              <w:ind w:firstLine="0"/>
              <w:rPr>
                <w:rFonts w:cs="Times New Roman"/>
                <w:sz w:val="20"/>
                <w:szCs w:val="20"/>
              </w:rPr>
            </w:pPr>
            <w:r w:rsidRPr="009C2097">
              <w:rPr>
                <w:rFonts w:cs="Times New Roman"/>
                <w:sz w:val="20"/>
                <w:szCs w:val="20"/>
              </w:rPr>
              <w:t>Ewidencja szczegółowa powinna zapewnić możliwość ustalenia stanu poszczególnych należności budżetowych</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229</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Pozostałe rozrachunki publicznoprawne</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innych niż z budżetami,  rozrachunków publicznoprawnych,</w:t>
            </w:r>
            <w:r w:rsidRPr="009C2097">
              <w:rPr>
                <w:rFonts w:cs="Times New Roman"/>
                <w:sz w:val="20"/>
                <w:szCs w:val="20"/>
              </w:rPr>
              <w:br/>
              <w:t xml:space="preserve"> a w szczególności z tytułu ubezpieczeń społecznych </w:t>
            </w:r>
            <w:r w:rsidRPr="009C2097">
              <w:rPr>
                <w:rFonts w:cs="Times New Roman"/>
                <w:sz w:val="20"/>
                <w:szCs w:val="20"/>
              </w:rPr>
              <w:br/>
              <w:t>i zdrowotnych</w:t>
            </w:r>
          </w:p>
        </w:tc>
        <w:tc>
          <w:tcPr>
            <w:tcW w:w="2127"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szczegółowa zapewnia ustalenie stanu należności i zobowiązań według tytułów  rozrachunków oraz podmiotów, z którymi dokonywane są rozliczenia</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231</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Rozrachunki z tytułu wynagrodzeń</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rozrachunków z pracownikami jednostki i innymi osobami fizycznymi z tytułu wypłat pieniężnych i świadczeń rzeczowych zaliczonych, zgodnie z odrębnymi przepisami, do wynagrodzeń, a w szczególności należności za pracę wykonaną na podstawie stosunku pracy, umowy zlecenia, umowy o dzieło i innych umów zgodnie z odrębnymi przepisami</w:t>
            </w:r>
          </w:p>
        </w:tc>
        <w:tc>
          <w:tcPr>
            <w:tcW w:w="2127" w:type="dxa"/>
          </w:tcPr>
          <w:p w:rsidR="007314CE" w:rsidRPr="009C2097" w:rsidRDefault="007314CE" w:rsidP="00C46623">
            <w:pPr>
              <w:ind w:firstLine="0"/>
              <w:rPr>
                <w:rFonts w:cs="Times New Roman"/>
                <w:sz w:val="20"/>
                <w:szCs w:val="20"/>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234</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Pozostałe rozrachunki z pracownikami</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należności, roszczeń i zobowiązań wobec pracowników z innych tytułów niż wynagrodzenia</w:t>
            </w:r>
          </w:p>
        </w:tc>
        <w:tc>
          <w:tcPr>
            <w:tcW w:w="2127"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wg stanu należności, roszczeń i zobowiązań z poszczególnymi pracownikami według tytułów rozrachunków</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r w:rsidRPr="009C2097">
              <w:br w:type="page"/>
            </w: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240</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Pozostałe rozrachunki</w:t>
            </w:r>
          </w:p>
          <w:p w:rsidR="007314CE" w:rsidRPr="009C2097" w:rsidRDefault="007314CE" w:rsidP="00C46623">
            <w:pPr>
              <w:ind w:firstLine="0"/>
              <w:jc w:val="both"/>
              <w:rPr>
                <w:rFonts w:cs="Times New Roman"/>
                <w:sz w:val="20"/>
                <w:szCs w:val="20"/>
              </w:rPr>
            </w:pPr>
          </w:p>
        </w:tc>
        <w:tc>
          <w:tcPr>
            <w:tcW w:w="3118" w:type="dxa"/>
          </w:tcPr>
          <w:p w:rsidR="007314CE" w:rsidRPr="009C2097" w:rsidRDefault="007314CE" w:rsidP="00C46623">
            <w:pPr>
              <w:ind w:firstLine="0"/>
              <w:rPr>
                <w:rFonts w:cs="Times New Roman"/>
                <w:sz w:val="20"/>
                <w:szCs w:val="20"/>
              </w:rPr>
            </w:pPr>
            <w:r w:rsidRPr="009C2097">
              <w:rPr>
                <w:rFonts w:cs="Times New Roman"/>
                <w:sz w:val="20"/>
                <w:szCs w:val="20"/>
              </w:rPr>
              <w:t>Ewidencja krajowych i zagranicznych należności i roszczeń oraz zobowiązań nieobjętych ewidencją na kontach 201 – 234.</w:t>
            </w:r>
          </w:p>
        </w:tc>
        <w:tc>
          <w:tcPr>
            <w:tcW w:w="2127" w:type="dxa"/>
          </w:tcPr>
          <w:p w:rsidR="007314CE" w:rsidRPr="009C2097" w:rsidRDefault="007314CE" w:rsidP="00C46623">
            <w:pPr>
              <w:ind w:firstLine="0"/>
              <w:jc w:val="both"/>
              <w:rPr>
                <w:rFonts w:cs="Times New Roman"/>
                <w:sz w:val="20"/>
                <w:szCs w:val="20"/>
              </w:rPr>
            </w:pPr>
            <w:r w:rsidRPr="009C2097">
              <w:rPr>
                <w:rFonts w:cs="Times New Roman"/>
                <w:sz w:val="20"/>
                <w:szCs w:val="20"/>
              </w:rPr>
              <w:t>Według zobowiązań, roszczeń i rozliczeń z poszczególnych tytułów</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245</w:t>
            </w:r>
          </w:p>
        </w:tc>
        <w:tc>
          <w:tcPr>
            <w:tcW w:w="1777" w:type="dxa"/>
          </w:tcPr>
          <w:p w:rsidR="007314CE" w:rsidRPr="009C2097" w:rsidRDefault="007314CE" w:rsidP="00C46623">
            <w:pPr>
              <w:ind w:firstLine="0"/>
              <w:rPr>
                <w:rFonts w:cs="Times New Roman"/>
                <w:sz w:val="20"/>
                <w:szCs w:val="20"/>
              </w:rPr>
            </w:pPr>
            <w:r w:rsidRPr="009C2097">
              <w:rPr>
                <w:rFonts w:cs="Times New Roman"/>
                <w:sz w:val="20"/>
                <w:szCs w:val="20"/>
              </w:rPr>
              <w:t>Wpływy do wyjaśnienia</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wpłaconych na rachunki bankowe jednostki, a niewyjaśnionych kwot należności  z tytułu dochodów budżetowych i innych tytułów.</w:t>
            </w:r>
          </w:p>
        </w:tc>
        <w:tc>
          <w:tcPr>
            <w:tcW w:w="2127" w:type="dxa"/>
          </w:tcPr>
          <w:p w:rsidR="007314CE" w:rsidRPr="009C2097" w:rsidRDefault="007314CE" w:rsidP="00C46623">
            <w:pPr>
              <w:ind w:firstLine="0"/>
              <w:jc w:val="both"/>
              <w:rPr>
                <w:rFonts w:cs="Times New Roman"/>
                <w:sz w:val="20"/>
                <w:szCs w:val="20"/>
                <w:highlight w:val="yellow"/>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p w:rsidR="007314CE" w:rsidRPr="009C2097" w:rsidRDefault="007314CE" w:rsidP="00C46623">
            <w:pPr>
              <w:ind w:firstLine="0"/>
              <w:jc w:val="center"/>
              <w:rPr>
                <w:rFonts w:cs="Times New Roman"/>
                <w:b/>
                <w:sz w:val="28"/>
                <w:szCs w:val="28"/>
              </w:rPr>
            </w:pPr>
          </w:p>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290</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Odpisy aktualizujące należności</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odpisów aktualizujących należności</w:t>
            </w:r>
          </w:p>
        </w:tc>
        <w:tc>
          <w:tcPr>
            <w:tcW w:w="2127" w:type="dxa"/>
          </w:tcPr>
          <w:p w:rsidR="007314CE" w:rsidRPr="009C2097" w:rsidRDefault="007314CE" w:rsidP="00C46623">
            <w:pPr>
              <w:ind w:firstLine="0"/>
              <w:jc w:val="both"/>
              <w:rPr>
                <w:rFonts w:cs="Times New Roman"/>
                <w:sz w:val="20"/>
                <w:szCs w:val="20"/>
              </w:rPr>
            </w:pPr>
          </w:p>
        </w:tc>
      </w:tr>
    </w:tbl>
    <w:p w:rsidR="007314CE" w:rsidRPr="009C2097" w:rsidRDefault="007314CE" w:rsidP="007314CE">
      <w:r w:rsidRPr="009C2097">
        <w:br w:type="page"/>
      </w:r>
    </w:p>
    <w:tbl>
      <w:tblPr>
        <w:tblpPr w:leftFromText="141" w:rightFromText="141" w:vertAnchor="text" w:horzAnchor="page" w:tblpX="1881" w:tblpY="-570"/>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
        <w:gridCol w:w="992"/>
        <w:gridCol w:w="1777"/>
        <w:gridCol w:w="3118"/>
        <w:gridCol w:w="2268"/>
      </w:tblGrid>
      <w:tr w:rsidR="007314CE" w:rsidRPr="009C2097" w:rsidTr="00C46623">
        <w:trPr>
          <w:trHeight w:val="390"/>
        </w:trPr>
        <w:tc>
          <w:tcPr>
            <w:tcW w:w="944" w:type="dxa"/>
          </w:tcPr>
          <w:p w:rsidR="007314CE" w:rsidRPr="009C2097" w:rsidRDefault="007314CE" w:rsidP="00C46623">
            <w:pPr>
              <w:ind w:firstLine="0"/>
              <w:jc w:val="center"/>
              <w:rPr>
                <w:rFonts w:cs="Times New Roman"/>
                <w:b/>
                <w:sz w:val="28"/>
                <w:szCs w:val="28"/>
              </w:rPr>
            </w:pPr>
            <w:r w:rsidRPr="009C2097">
              <w:rPr>
                <w:rFonts w:cs="Times New Roman"/>
                <w:b/>
                <w:sz w:val="28"/>
                <w:szCs w:val="28"/>
              </w:rPr>
              <w:lastRenderedPageBreak/>
              <w:t>3</w:t>
            </w:r>
          </w:p>
        </w:tc>
        <w:tc>
          <w:tcPr>
            <w:tcW w:w="8155" w:type="dxa"/>
            <w:gridSpan w:val="4"/>
          </w:tcPr>
          <w:p w:rsidR="007314CE" w:rsidRPr="009C2097" w:rsidRDefault="007314CE" w:rsidP="00C46623">
            <w:pPr>
              <w:ind w:firstLine="0"/>
              <w:jc w:val="both"/>
              <w:rPr>
                <w:rFonts w:cs="Times New Roman"/>
                <w:sz w:val="20"/>
                <w:szCs w:val="20"/>
              </w:rPr>
            </w:pPr>
            <w:r w:rsidRPr="009C2097">
              <w:rPr>
                <w:rFonts w:cs="Times New Roman"/>
                <w:b/>
                <w:sz w:val="28"/>
                <w:szCs w:val="28"/>
              </w:rPr>
              <w:t>Materiały i towary</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300</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Rozliczenie zakupu</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rozliczenia zakupu materiałów, towarów, robót i usług, a w szczególności do ustalenia wartości materiałów, towarów w drodze oraz wartości dostaw niefakturowanych</w:t>
            </w:r>
          </w:p>
        </w:tc>
        <w:tc>
          <w:tcPr>
            <w:tcW w:w="2268" w:type="dxa"/>
          </w:tcPr>
          <w:p w:rsidR="007314CE" w:rsidRPr="009C2097" w:rsidRDefault="007314CE" w:rsidP="00C46623">
            <w:pPr>
              <w:ind w:firstLine="0"/>
              <w:jc w:val="both"/>
              <w:rPr>
                <w:rFonts w:cs="Times New Roman"/>
                <w:sz w:val="20"/>
                <w:szCs w:val="20"/>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p w:rsidR="007314CE" w:rsidRPr="009C2097" w:rsidRDefault="007314CE" w:rsidP="00C46623">
            <w:pPr>
              <w:ind w:firstLine="0"/>
              <w:jc w:val="center"/>
              <w:rPr>
                <w:rFonts w:cs="Times New Roman"/>
                <w:b/>
                <w:sz w:val="28"/>
                <w:szCs w:val="28"/>
              </w:rPr>
            </w:pPr>
          </w:p>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310</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Materiały</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zapasów materiałów</w:t>
            </w:r>
          </w:p>
        </w:tc>
        <w:tc>
          <w:tcPr>
            <w:tcW w:w="2268" w:type="dxa"/>
          </w:tcPr>
          <w:p w:rsidR="007314CE" w:rsidRPr="009C2097" w:rsidRDefault="007314CE" w:rsidP="00C46623">
            <w:pPr>
              <w:ind w:firstLine="0"/>
              <w:jc w:val="both"/>
              <w:rPr>
                <w:rFonts w:cs="Times New Roman"/>
                <w:sz w:val="20"/>
                <w:szCs w:val="20"/>
                <w:highlight w:val="yellow"/>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r w:rsidRPr="009C2097">
              <w:rPr>
                <w:rFonts w:cs="Times New Roman"/>
                <w:b/>
                <w:sz w:val="28"/>
                <w:szCs w:val="28"/>
              </w:rPr>
              <w:t>4</w:t>
            </w:r>
          </w:p>
        </w:tc>
        <w:tc>
          <w:tcPr>
            <w:tcW w:w="8155" w:type="dxa"/>
            <w:gridSpan w:val="4"/>
          </w:tcPr>
          <w:p w:rsidR="007314CE" w:rsidRPr="009C2097" w:rsidRDefault="007314CE" w:rsidP="00C46623">
            <w:pPr>
              <w:ind w:firstLine="0"/>
              <w:jc w:val="center"/>
              <w:rPr>
                <w:rFonts w:cs="Times New Roman"/>
                <w:b/>
                <w:sz w:val="28"/>
                <w:szCs w:val="28"/>
              </w:rPr>
            </w:pPr>
            <w:r w:rsidRPr="009C2097">
              <w:rPr>
                <w:rFonts w:cs="Times New Roman"/>
                <w:b/>
                <w:sz w:val="28"/>
                <w:szCs w:val="28"/>
              </w:rPr>
              <w:t>Koszty według rodzajów i ich rozliczenie</w:t>
            </w:r>
          </w:p>
          <w:p w:rsidR="007314CE" w:rsidRPr="009C2097" w:rsidRDefault="007314CE" w:rsidP="00C46623">
            <w:pPr>
              <w:ind w:firstLine="0"/>
              <w:jc w:val="center"/>
              <w:rPr>
                <w:rFonts w:cs="Times New Roman"/>
                <w:sz w:val="20"/>
                <w:szCs w:val="20"/>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400</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Amortyzacja</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Służy do ewidencji naliczonych odpisów amortyzacyjnych od środków trwałych i wartości niematerialnych i prawnych, od których odpisy umorzeniowe są dokonywane stopniowo według stawek amortyzacyjnych</w:t>
            </w:r>
          </w:p>
        </w:tc>
        <w:tc>
          <w:tcPr>
            <w:tcW w:w="2268" w:type="dxa"/>
          </w:tcPr>
          <w:p w:rsidR="007314CE" w:rsidRPr="009C2097" w:rsidRDefault="007314CE" w:rsidP="00C46623">
            <w:pPr>
              <w:ind w:firstLine="0"/>
              <w:jc w:val="both"/>
              <w:rPr>
                <w:rFonts w:cs="Times New Roman"/>
                <w:sz w:val="20"/>
                <w:szCs w:val="20"/>
              </w:rPr>
            </w:pP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401</w:t>
            </w:r>
          </w:p>
        </w:tc>
        <w:tc>
          <w:tcPr>
            <w:tcW w:w="1777" w:type="dxa"/>
          </w:tcPr>
          <w:p w:rsidR="007314CE" w:rsidRPr="009C2097" w:rsidRDefault="007314CE" w:rsidP="00C46623">
            <w:pPr>
              <w:ind w:firstLine="0"/>
              <w:rPr>
                <w:rFonts w:cs="Times New Roman"/>
                <w:sz w:val="20"/>
                <w:szCs w:val="20"/>
              </w:rPr>
            </w:pPr>
            <w:r w:rsidRPr="009C2097">
              <w:rPr>
                <w:rFonts w:cs="Times New Roman"/>
                <w:sz w:val="20"/>
                <w:szCs w:val="20"/>
              </w:rPr>
              <w:t>Zużycie materiałów i energii</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Służy do ewidencji zużycia materiałów i energii na cele działalności podstawowej, pomocniczej i ogólnego zarządu</w:t>
            </w:r>
          </w:p>
        </w:tc>
        <w:tc>
          <w:tcPr>
            <w:tcW w:w="2268" w:type="dxa"/>
          </w:tcPr>
          <w:p w:rsidR="007314CE" w:rsidRPr="009C2097" w:rsidRDefault="007314CE" w:rsidP="00C46623">
            <w:pPr>
              <w:ind w:firstLine="0"/>
              <w:rPr>
                <w:rFonts w:cs="Times New Roman"/>
                <w:sz w:val="20"/>
                <w:szCs w:val="20"/>
              </w:rPr>
            </w:pPr>
            <w:r w:rsidRPr="009C2097">
              <w:rPr>
                <w:rFonts w:cs="Times New Roman"/>
                <w:sz w:val="20"/>
                <w:szCs w:val="20"/>
              </w:rPr>
              <w:t>Ewidencja szczegółowa według pozycji planu finansowego oraz w przekrojach dostosowanych do potrzeb planowania, analizy i sprawozdawczości</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r w:rsidRPr="009C2097">
              <w:br w:type="page"/>
            </w: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402</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Usługi obce</w:t>
            </w:r>
          </w:p>
        </w:tc>
        <w:tc>
          <w:tcPr>
            <w:tcW w:w="3118" w:type="dxa"/>
          </w:tcPr>
          <w:p w:rsidR="007314CE" w:rsidRPr="009C2097" w:rsidRDefault="007314CE" w:rsidP="00C46623">
            <w:pPr>
              <w:ind w:firstLine="0"/>
              <w:rPr>
                <w:rFonts w:cs="Times New Roman"/>
                <w:sz w:val="20"/>
                <w:szCs w:val="20"/>
              </w:rPr>
            </w:pPr>
            <w:r w:rsidRPr="009C2097">
              <w:rPr>
                <w:rFonts w:cs="Times New Roman"/>
                <w:sz w:val="20"/>
                <w:szCs w:val="20"/>
              </w:rPr>
              <w:t>Służy do ewidencji kosztów z tytułu usług obcych na rzecz działalności podstawowej jednostki</w:t>
            </w:r>
          </w:p>
        </w:tc>
        <w:tc>
          <w:tcPr>
            <w:tcW w:w="2268" w:type="dxa"/>
          </w:tcPr>
          <w:p w:rsidR="007314CE" w:rsidRPr="009C2097" w:rsidRDefault="007314CE" w:rsidP="00C46623">
            <w:pPr>
              <w:ind w:firstLine="0"/>
              <w:rPr>
                <w:rFonts w:cs="Times New Roman"/>
                <w:sz w:val="20"/>
                <w:szCs w:val="20"/>
              </w:rPr>
            </w:pPr>
            <w:r w:rsidRPr="009C2097">
              <w:rPr>
                <w:rFonts w:cs="Times New Roman"/>
                <w:sz w:val="20"/>
                <w:szCs w:val="20"/>
              </w:rPr>
              <w:t>Ewidencja szczegółowa według pozycji planu finansowego oraz w przekrojach dostosowanych do potrzeb planowania, analizy i sprawozdawczości</w:t>
            </w:r>
          </w:p>
        </w:tc>
      </w:tr>
      <w:tr w:rsidR="007314CE" w:rsidRPr="009C2097" w:rsidTr="00C46623">
        <w:trPr>
          <w:trHeight w:val="366"/>
        </w:trPr>
        <w:tc>
          <w:tcPr>
            <w:tcW w:w="944" w:type="dxa"/>
          </w:tcPr>
          <w:p w:rsidR="007314CE" w:rsidRPr="009C2097" w:rsidRDefault="007314CE" w:rsidP="00C46623">
            <w:pPr>
              <w:ind w:firstLine="0"/>
              <w:jc w:val="center"/>
              <w:rPr>
                <w:rFonts w:cs="Times New Roman"/>
                <w:b/>
                <w:sz w:val="28"/>
                <w:szCs w:val="28"/>
              </w:rPr>
            </w:pPr>
          </w:p>
        </w:tc>
        <w:tc>
          <w:tcPr>
            <w:tcW w:w="992" w:type="dxa"/>
          </w:tcPr>
          <w:p w:rsidR="007314CE" w:rsidRPr="009C2097" w:rsidRDefault="007314CE" w:rsidP="00C46623">
            <w:pPr>
              <w:ind w:left="5" w:right="-3" w:firstLine="0"/>
              <w:jc w:val="center"/>
              <w:rPr>
                <w:rFonts w:cs="Times New Roman"/>
                <w:b/>
                <w:sz w:val="28"/>
                <w:szCs w:val="28"/>
              </w:rPr>
            </w:pPr>
            <w:r w:rsidRPr="009C2097">
              <w:rPr>
                <w:rFonts w:cs="Times New Roman"/>
                <w:b/>
                <w:sz w:val="28"/>
                <w:szCs w:val="28"/>
              </w:rPr>
              <w:t>403</w:t>
            </w:r>
          </w:p>
        </w:tc>
        <w:tc>
          <w:tcPr>
            <w:tcW w:w="1777" w:type="dxa"/>
          </w:tcPr>
          <w:p w:rsidR="007314CE" w:rsidRPr="009C2097" w:rsidRDefault="007314CE" w:rsidP="00C46623">
            <w:pPr>
              <w:ind w:firstLine="0"/>
              <w:jc w:val="both"/>
              <w:rPr>
                <w:rFonts w:cs="Times New Roman"/>
                <w:sz w:val="20"/>
                <w:szCs w:val="20"/>
              </w:rPr>
            </w:pPr>
            <w:r w:rsidRPr="009C2097">
              <w:rPr>
                <w:rFonts w:cs="Times New Roman"/>
                <w:sz w:val="20"/>
                <w:szCs w:val="20"/>
              </w:rPr>
              <w:t>Podatki i opłaty</w:t>
            </w:r>
          </w:p>
        </w:tc>
        <w:tc>
          <w:tcPr>
            <w:tcW w:w="3118" w:type="dxa"/>
          </w:tcPr>
          <w:p w:rsidR="007314CE" w:rsidRPr="009C2097" w:rsidRDefault="007314CE" w:rsidP="00C46623">
            <w:pPr>
              <w:ind w:firstLine="0"/>
              <w:jc w:val="both"/>
              <w:rPr>
                <w:rFonts w:cs="Times New Roman"/>
                <w:sz w:val="20"/>
                <w:szCs w:val="20"/>
              </w:rPr>
            </w:pPr>
            <w:r w:rsidRPr="009C2097">
              <w:rPr>
                <w:rFonts w:cs="Times New Roman"/>
                <w:sz w:val="20"/>
                <w:szCs w:val="20"/>
              </w:rPr>
              <w:t>Służy do ewidencji w szczególności kosztów z tytułu podatku od nieruchomości, podatku od czynności cywilnoprawnych oraz opłat o charakterze podatkowym, a także opłaty notarialnej, opłaty skarbowej i  administracyjnej</w:t>
            </w:r>
          </w:p>
        </w:tc>
        <w:tc>
          <w:tcPr>
            <w:tcW w:w="2268" w:type="dxa"/>
          </w:tcPr>
          <w:p w:rsidR="007314CE" w:rsidRPr="009C2097" w:rsidRDefault="007314CE" w:rsidP="00C46623">
            <w:pPr>
              <w:ind w:firstLine="0"/>
              <w:jc w:val="both"/>
              <w:rPr>
                <w:rFonts w:cs="Times New Roman"/>
                <w:sz w:val="20"/>
                <w:szCs w:val="20"/>
              </w:rPr>
            </w:pPr>
            <w:r w:rsidRPr="009C2097">
              <w:rPr>
                <w:rFonts w:cs="Times New Roman"/>
                <w:sz w:val="20"/>
                <w:szCs w:val="20"/>
              </w:rPr>
              <w:t>Ewidencja szczegółowa według pozycji planu finansowego oraz w przekrojach dostosowanych do potrzeb planowania, analizy i sprawozdawczości</w:t>
            </w:r>
          </w:p>
        </w:tc>
      </w:tr>
    </w:tbl>
    <w:p w:rsidR="007314CE" w:rsidRPr="009C2097" w:rsidRDefault="007314CE" w:rsidP="007314CE">
      <w:r w:rsidRPr="009C2097">
        <w:br w:type="page"/>
      </w:r>
    </w:p>
    <w:tbl>
      <w:tblPr>
        <w:tblpPr w:leftFromText="141" w:rightFromText="141" w:vertAnchor="text" w:horzAnchor="margin" w:tblpY="-615"/>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1134"/>
        <w:gridCol w:w="1559"/>
        <w:gridCol w:w="3118"/>
        <w:gridCol w:w="2268"/>
      </w:tblGrid>
      <w:tr w:rsidR="007314CE" w:rsidRPr="00963F0B" w:rsidTr="00C46623">
        <w:trPr>
          <w:trHeight w:val="366"/>
        </w:trPr>
        <w:tc>
          <w:tcPr>
            <w:tcW w:w="1020" w:type="dxa"/>
          </w:tcPr>
          <w:p w:rsidR="007314CE" w:rsidRPr="00963F0B" w:rsidRDefault="007314CE" w:rsidP="00C46623">
            <w:pPr>
              <w:ind w:firstLine="0"/>
              <w:jc w:val="center"/>
              <w:rPr>
                <w:rFonts w:cs="Times New Roman"/>
                <w:b/>
                <w:sz w:val="28"/>
                <w:szCs w:val="28"/>
              </w:rPr>
            </w:pPr>
          </w:p>
        </w:tc>
        <w:tc>
          <w:tcPr>
            <w:tcW w:w="1134" w:type="dxa"/>
          </w:tcPr>
          <w:p w:rsidR="007314CE" w:rsidRPr="00963F0B" w:rsidRDefault="007314CE" w:rsidP="00C46623">
            <w:pPr>
              <w:ind w:left="5" w:right="-3" w:firstLine="0"/>
              <w:jc w:val="center"/>
              <w:rPr>
                <w:rFonts w:cs="Times New Roman"/>
                <w:b/>
                <w:sz w:val="28"/>
                <w:szCs w:val="28"/>
              </w:rPr>
            </w:pPr>
            <w:r w:rsidRPr="00963F0B">
              <w:rPr>
                <w:rFonts w:cs="Times New Roman"/>
                <w:b/>
                <w:sz w:val="28"/>
                <w:szCs w:val="28"/>
              </w:rPr>
              <w:t>404</w:t>
            </w:r>
          </w:p>
        </w:tc>
        <w:tc>
          <w:tcPr>
            <w:tcW w:w="1559" w:type="dxa"/>
          </w:tcPr>
          <w:p w:rsidR="007314CE" w:rsidRPr="00963F0B" w:rsidRDefault="007314CE" w:rsidP="00C46623">
            <w:pPr>
              <w:ind w:firstLine="0"/>
              <w:rPr>
                <w:rFonts w:cs="Times New Roman"/>
                <w:sz w:val="20"/>
                <w:szCs w:val="20"/>
              </w:rPr>
            </w:pPr>
            <w:r w:rsidRPr="00963F0B">
              <w:rPr>
                <w:rFonts w:cs="Times New Roman"/>
                <w:sz w:val="20"/>
                <w:szCs w:val="20"/>
              </w:rPr>
              <w:t xml:space="preserve">Wynagrodzenia </w:t>
            </w:r>
          </w:p>
        </w:tc>
        <w:tc>
          <w:tcPr>
            <w:tcW w:w="3118" w:type="dxa"/>
          </w:tcPr>
          <w:p w:rsidR="007314CE" w:rsidRPr="00963F0B" w:rsidRDefault="007314CE" w:rsidP="00C46623">
            <w:pPr>
              <w:ind w:firstLine="0"/>
              <w:jc w:val="both"/>
              <w:rPr>
                <w:rFonts w:cs="Times New Roman"/>
                <w:sz w:val="20"/>
                <w:szCs w:val="20"/>
              </w:rPr>
            </w:pPr>
            <w:r w:rsidRPr="00963F0B">
              <w:rPr>
                <w:rFonts w:cs="Times New Roman"/>
                <w:sz w:val="20"/>
                <w:szCs w:val="20"/>
              </w:rPr>
              <w:t>Służy do ewidencji kosztów działalności podstawowej z tytułu wynagrodzeń z pracownikami i innymi osobami fizycznymi zatrudnionymi na podstawie umowy o pracę, umowy zlecenia, umowy o dzieło i innych umów zgodnie z odrębnymi przepisami</w:t>
            </w:r>
          </w:p>
        </w:tc>
        <w:tc>
          <w:tcPr>
            <w:tcW w:w="2268" w:type="dxa"/>
          </w:tcPr>
          <w:p w:rsidR="007314CE" w:rsidRPr="00963F0B" w:rsidRDefault="007314CE" w:rsidP="00C46623">
            <w:pPr>
              <w:ind w:firstLine="0"/>
              <w:jc w:val="both"/>
              <w:rPr>
                <w:rFonts w:cs="Times New Roman"/>
                <w:sz w:val="20"/>
                <w:szCs w:val="20"/>
              </w:rPr>
            </w:pPr>
            <w:r w:rsidRPr="00963F0B">
              <w:rPr>
                <w:rFonts w:cs="Times New Roman"/>
                <w:sz w:val="20"/>
                <w:szCs w:val="20"/>
              </w:rPr>
              <w:t>Ewidencja szczegółowa według pozycji planu finansowego oraz w przekrojach dostosowanych do potrzeb planowania, analizy i sprawozdawczości</w:t>
            </w:r>
          </w:p>
        </w:tc>
      </w:tr>
      <w:tr w:rsidR="007314CE" w:rsidRPr="00963F0B" w:rsidTr="00C46623">
        <w:trPr>
          <w:trHeight w:val="366"/>
        </w:trPr>
        <w:tc>
          <w:tcPr>
            <w:tcW w:w="1020" w:type="dxa"/>
          </w:tcPr>
          <w:p w:rsidR="007314CE" w:rsidRPr="00963F0B" w:rsidRDefault="007314CE" w:rsidP="00C46623">
            <w:pPr>
              <w:ind w:firstLine="0"/>
              <w:jc w:val="center"/>
              <w:rPr>
                <w:rFonts w:cs="Times New Roman"/>
                <w:b/>
                <w:sz w:val="28"/>
                <w:szCs w:val="28"/>
              </w:rPr>
            </w:pPr>
          </w:p>
        </w:tc>
        <w:tc>
          <w:tcPr>
            <w:tcW w:w="1134" w:type="dxa"/>
          </w:tcPr>
          <w:p w:rsidR="007314CE" w:rsidRPr="00963F0B" w:rsidRDefault="007314CE" w:rsidP="00C46623">
            <w:pPr>
              <w:ind w:left="5" w:right="-3" w:firstLine="0"/>
              <w:jc w:val="center"/>
              <w:rPr>
                <w:rFonts w:cs="Times New Roman"/>
                <w:b/>
                <w:sz w:val="28"/>
                <w:szCs w:val="28"/>
              </w:rPr>
            </w:pPr>
            <w:r w:rsidRPr="00963F0B">
              <w:rPr>
                <w:rFonts w:cs="Times New Roman"/>
                <w:b/>
                <w:sz w:val="28"/>
                <w:szCs w:val="28"/>
              </w:rPr>
              <w:t>405</w:t>
            </w:r>
          </w:p>
        </w:tc>
        <w:tc>
          <w:tcPr>
            <w:tcW w:w="1559" w:type="dxa"/>
          </w:tcPr>
          <w:p w:rsidR="007314CE" w:rsidRPr="00963F0B" w:rsidRDefault="007314CE" w:rsidP="00C46623">
            <w:pPr>
              <w:ind w:firstLine="0"/>
              <w:jc w:val="both"/>
              <w:rPr>
                <w:rFonts w:cs="Times New Roman"/>
                <w:sz w:val="20"/>
                <w:szCs w:val="20"/>
              </w:rPr>
            </w:pPr>
            <w:r w:rsidRPr="00963F0B">
              <w:rPr>
                <w:rFonts w:cs="Times New Roman"/>
                <w:sz w:val="20"/>
                <w:szCs w:val="20"/>
              </w:rPr>
              <w:t>Ubezpieczenia społeczne i inne świadczenia</w:t>
            </w:r>
          </w:p>
        </w:tc>
        <w:tc>
          <w:tcPr>
            <w:tcW w:w="3118" w:type="dxa"/>
          </w:tcPr>
          <w:p w:rsidR="007314CE" w:rsidRPr="00963F0B" w:rsidRDefault="007314CE" w:rsidP="00C46623">
            <w:pPr>
              <w:ind w:firstLine="0"/>
              <w:jc w:val="both"/>
              <w:rPr>
                <w:rFonts w:cs="Times New Roman"/>
                <w:sz w:val="20"/>
                <w:szCs w:val="20"/>
              </w:rPr>
            </w:pPr>
            <w:r w:rsidRPr="00963F0B">
              <w:rPr>
                <w:rFonts w:cs="Times New Roman"/>
                <w:sz w:val="20"/>
                <w:szCs w:val="20"/>
              </w:rPr>
              <w:t>Służy do ewidencji kosztów działalności podstawowej z tytułu różnego rodzaju świadczeń na rzecz pracowników i osób fizycznych zatrudnionych na podstawie umowy o pracę, umowy o dzieło i innych umów, które nie są zaliczane do wynagrodzeń</w:t>
            </w:r>
          </w:p>
        </w:tc>
        <w:tc>
          <w:tcPr>
            <w:tcW w:w="2268" w:type="dxa"/>
          </w:tcPr>
          <w:p w:rsidR="007314CE" w:rsidRPr="00963F0B" w:rsidRDefault="007314CE" w:rsidP="00C46623">
            <w:pPr>
              <w:ind w:firstLine="0"/>
              <w:jc w:val="both"/>
              <w:rPr>
                <w:rFonts w:cs="Times New Roman"/>
                <w:sz w:val="20"/>
                <w:szCs w:val="20"/>
              </w:rPr>
            </w:pPr>
            <w:r w:rsidRPr="00963F0B">
              <w:rPr>
                <w:rFonts w:cs="Times New Roman"/>
                <w:sz w:val="20"/>
                <w:szCs w:val="20"/>
              </w:rPr>
              <w:t>Ewidencja szczegółowa według pozycji planu finansowego oraz w przekrojach dostosowanych do potrzeb planowania, analizy i sprawozdawczości</w:t>
            </w:r>
          </w:p>
        </w:tc>
      </w:tr>
      <w:tr w:rsidR="007314CE" w:rsidRPr="00963F0B" w:rsidTr="00C46623">
        <w:trPr>
          <w:trHeight w:val="366"/>
        </w:trPr>
        <w:tc>
          <w:tcPr>
            <w:tcW w:w="1020" w:type="dxa"/>
          </w:tcPr>
          <w:p w:rsidR="007314CE" w:rsidRPr="00963F0B" w:rsidRDefault="007314CE" w:rsidP="00C46623">
            <w:pPr>
              <w:ind w:firstLine="0"/>
              <w:jc w:val="center"/>
              <w:rPr>
                <w:rFonts w:cs="Times New Roman"/>
                <w:b/>
                <w:sz w:val="28"/>
                <w:szCs w:val="28"/>
              </w:rPr>
            </w:pPr>
          </w:p>
        </w:tc>
        <w:tc>
          <w:tcPr>
            <w:tcW w:w="1134" w:type="dxa"/>
          </w:tcPr>
          <w:p w:rsidR="007314CE" w:rsidRPr="00963F0B" w:rsidRDefault="007314CE" w:rsidP="00C46623">
            <w:pPr>
              <w:ind w:left="5" w:right="-3" w:firstLine="0"/>
              <w:jc w:val="center"/>
              <w:rPr>
                <w:rFonts w:cs="Times New Roman"/>
                <w:b/>
                <w:sz w:val="28"/>
                <w:szCs w:val="28"/>
              </w:rPr>
            </w:pPr>
            <w:r w:rsidRPr="00963F0B">
              <w:rPr>
                <w:rFonts w:cs="Times New Roman"/>
                <w:b/>
                <w:sz w:val="28"/>
                <w:szCs w:val="28"/>
              </w:rPr>
              <w:t>409</w:t>
            </w:r>
          </w:p>
        </w:tc>
        <w:tc>
          <w:tcPr>
            <w:tcW w:w="1559" w:type="dxa"/>
          </w:tcPr>
          <w:p w:rsidR="007314CE" w:rsidRPr="00963F0B" w:rsidRDefault="007314CE" w:rsidP="00C46623">
            <w:pPr>
              <w:ind w:firstLine="0"/>
              <w:jc w:val="both"/>
              <w:rPr>
                <w:rFonts w:cs="Times New Roman"/>
                <w:sz w:val="20"/>
                <w:szCs w:val="20"/>
              </w:rPr>
            </w:pPr>
            <w:r w:rsidRPr="00963F0B">
              <w:rPr>
                <w:rFonts w:cs="Times New Roman"/>
                <w:sz w:val="20"/>
                <w:szCs w:val="20"/>
              </w:rPr>
              <w:t>Pozostałe koszty rodzajowe</w:t>
            </w:r>
          </w:p>
        </w:tc>
        <w:tc>
          <w:tcPr>
            <w:tcW w:w="3118" w:type="dxa"/>
          </w:tcPr>
          <w:p w:rsidR="007314CE" w:rsidRPr="00963F0B" w:rsidRDefault="007314CE" w:rsidP="00C46623">
            <w:pPr>
              <w:ind w:firstLine="0"/>
              <w:jc w:val="both"/>
              <w:rPr>
                <w:rFonts w:cs="Times New Roman"/>
                <w:sz w:val="20"/>
                <w:szCs w:val="20"/>
              </w:rPr>
            </w:pPr>
            <w:r w:rsidRPr="00963F0B">
              <w:rPr>
                <w:rFonts w:cs="Times New Roman"/>
                <w:sz w:val="20"/>
                <w:szCs w:val="20"/>
              </w:rPr>
              <w:t>Służy do ewidencji kosztów działalności podstawowej, które nie kwalifikuje się do ujęcia na kontach 400-405. Na koncie tym ujmuje się w szczególności zwroty wydatków za używanie samochodów prywatnych pracowników do zadań służbowych, koszty krajowych i zagranicznych podróży służbowych, koszty ubezpieczeń majątkowych i osobowych, odprawy z tytułu wypadków przy pracy oraz innych kosztów niezaliczanych do kosztów działalności finansowej i pozostałych kosztów operacyjnych</w:t>
            </w:r>
          </w:p>
        </w:tc>
        <w:tc>
          <w:tcPr>
            <w:tcW w:w="2268" w:type="dxa"/>
          </w:tcPr>
          <w:p w:rsidR="007314CE" w:rsidRPr="00963F0B" w:rsidRDefault="007314CE" w:rsidP="00C46623">
            <w:pPr>
              <w:ind w:firstLine="0"/>
              <w:jc w:val="both"/>
              <w:rPr>
                <w:rFonts w:cs="Times New Roman"/>
                <w:sz w:val="20"/>
                <w:szCs w:val="20"/>
              </w:rPr>
            </w:pPr>
            <w:r w:rsidRPr="00963F0B">
              <w:rPr>
                <w:rFonts w:cs="Times New Roman"/>
                <w:sz w:val="20"/>
                <w:szCs w:val="20"/>
              </w:rPr>
              <w:t>Ewidencja szczegółowa według pozycji planu finansowego oraz w przekrojach dostosowanych do potrzeb planowania, analizy i sprawozdawczości</w:t>
            </w:r>
          </w:p>
        </w:tc>
      </w:tr>
      <w:tr w:rsidR="007314CE" w:rsidRPr="00963F0B" w:rsidTr="00C46623">
        <w:trPr>
          <w:trHeight w:val="366"/>
        </w:trPr>
        <w:tc>
          <w:tcPr>
            <w:tcW w:w="1020" w:type="dxa"/>
          </w:tcPr>
          <w:p w:rsidR="007314CE" w:rsidRPr="00963F0B" w:rsidRDefault="007314CE" w:rsidP="00C46623">
            <w:pPr>
              <w:ind w:firstLine="0"/>
              <w:jc w:val="center"/>
              <w:rPr>
                <w:rFonts w:cs="Times New Roman"/>
                <w:b/>
                <w:sz w:val="28"/>
                <w:szCs w:val="28"/>
              </w:rPr>
            </w:pPr>
          </w:p>
        </w:tc>
        <w:tc>
          <w:tcPr>
            <w:tcW w:w="1134" w:type="dxa"/>
          </w:tcPr>
          <w:p w:rsidR="007314CE" w:rsidRPr="00963F0B" w:rsidRDefault="007314CE" w:rsidP="00C46623">
            <w:pPr>
              <w:ind w:left="5" w:right="-3" w:firstLine="0"/>
              <w:jc w:val="center"/>
              <w:rPr>
                <w:rFonts w:cs="Times New Roman"/>
                <w:b/>
                <w:sz w:val="28"/>
                <w:szCs w:val="28"/>
              </w:rPr>
            </w:pPr>
            <w:r w:rsidRPr="00963F0B">
              <w:rPr>
                <w:rFonts w:cs="Times New Roman"/>
                <w:b/>
                <w:sz w:val="28"/>
                <w:szCs w:val="28"/>
              </w:rPr>
              <w:t>490</w:t>
            </w:r>
          </w:p>
        </w:tc>
        <w:tc>
          <w:tcPr>
            <w:tcW w:w="1559" w:type="dxa"/>
          </w:tcPr>
          <w:p w:rsidR="007314CE" w:rsidRPr="00963F0B" w:rsidRDefault="007314CE" w:rsidP="00C46623">
            <w:pPr>
              <w:ind w:firstLine="0"/>
              <w:jc w:val="both"/>
              <w:rPr>
                <w:rFonts w:cs="Times New Roman"/>
                <w:sz w:val="20"/>
                <w:szCs w:val="20"/>
              </w:rPr>
            </w:pPr>
            <w:r w:rsidRPr="00963F0B">
              <w:rPr>
                <w:rFonts w:cs="Times New Roman"/>
                <w:sz w:val="20"/>
                <w:szCs w:val="20"/>
              </w:rPr>
              <w:t>Rozliczenie kosztów</w:t>
            </w:r>
          </w:p>
        </w:tc>
        <w:tc>
          <w:tcPr>
            <w:tcW w:w="3118" w:type="dxa"/>
          </w:tcPr>
          <w:p w:rsidR="007314CE" w:rsidRPr="00963F0B" w:rsidRDefault="007314CE" w:rsidP="00C46623">
            <w:pPr>
              <w:spacing w:after="0"/>
              <w:ind w:firstLine="0"/>
              <w:jc w:val="both"/>
              <w:rPr>
                <w:rFonts w:cs="Times New Roman"/>
                <w:sz w:val="20"/>
                <w:szCs w:val="20"/>
              </w:rPr>
            </w:pPr>
            <w:r w:rsidRPr="00963F0B">
              <w:rPr>
                <w:rFonts w:cs="Times New Roman"/>
                <w:sz w:val="20"/>
                <w:szCs w:val="20"/>
              </w:rPr>
              <w:t>Służy do ujęcia;</w:t>
            </w:r>
          </w:p>
          <w:p w:rsidR="007314CE" w:rsidRPr="00963F0B" w:rsidRDefault="007314CE" w:rsidP="00C46623">
            <w:pPr>
              <w:spacing w:after="0"/>
              <w:ind w:firstLine="0"/>
              <w:jc w:val="both"/>
              <w:rPr>
                <w:rFonts w:cs="Times New Roman"/>
                <w:sz w:val="20"/>
                <w:szCs w:val="20"/>
              </w:rPr>
            </w:pPr>
            <w:r w:rsidRPr="00963F0B">
              <w:rPr>
                <w:rFonts w:cs="Times New Roman"/>
                <w:sz w:val="20"/>
                <w:szCs w:val="20"/>
              </w:rPr>
              <w:t xml:space="preserve"> - w korespondencji z kontem 640 „Rozliczenia międzyokresowe kosztów” kosztów rozliczanych w czasie (w okresach późniejszych), które ujęte były na koncie 401,401,402,403,404,405,409 w wartości poniesionej,</w:t>
            </w:r>
          </w:p>
          <w:p w:rsidR="007314CE" w:rsidRPr="00963F0B" w:rsidRDefault="007314CE" w:rsidP="00C46623">
            <w:pPr>
              <w:spacing w:after="0"/>
              <w:ind w:firstLine="0"/>
              <w:jc w:val="both"/>
              <w:rPr>
                <w:rFonts w:cs="Times New Roman"/>
                <w:sz w:val="20"/>
                <w:szCs w:val="20"/>
              </w:rPr>
            </w:pPr>
            <w:r w:rsidRPr="00963F0B">
              <w:rPr>
                <w:rFonts w:cs="Times New Roman"/>
                <w:sz w:val="20"/>
                <w:szCs w:val="20"/>
              </w:rPr>
              <w:t>- zmniejszeń rozliczeń międzyokresowych kosztów oraz rezerw tworzonych na koszty, w korespondencji z kontem 640</w:t>
            </w:r>
          </w:p>
        </w:tc>
        <w:tc>
          <w:tcPr>
            <w:tcW w:w="2268" w:type="dxa"/>
          </w:tcPr>
          <w:p w:rsidR="007314CE" w:rsidRPr="00963F0B" w:rsidRDefault="007314CE" w:rsidP="00C46623">
            <w:pPr>
              <w:ind w:firstLine="0"/>
              <w:jc w:val="both"/>
              <w:rPr>
                <w:rFonts w:cs="Times New Roman"/>
                <w:sz w:val="20"/>
                <w:szCs w:val="20"/>
              </w:rPr>
            </w:pPr>
          </w:p>
        </w:tc>
      </w:tr>
    </w:tbl>
    <w:p w:rsidR="007314CE" w:rsidRPr="00963F0B" w:rsidRDefault="007314CE" w:rsidP="007314CE">
      <w:r w:rsidRPr="00963F0B">
        <w:br w:type="page"/>
      </w:r>
    </w:p>
    <w:tbl>
      <w:tblPr>
        <w:tblpPr w:leftFromText="141" w:rightFromText="141" w:vertAnchor="text" w:horzAnchor="margin" w:tblpY="-660"/>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1134"/>
        <w:gridCol w:w="1559"/>
        <w:gridCol w:w="3118"/>
        <w:gridCol w:w="2268"/>
      </w:tblGrid>
      <w:tr w:rsidR="007314CE" w:rsidRPr="00963F0B" w:rsidTr="00C46623">
        <w:trPr>
          <w:trHeight w:val="366"/>
        </w:trPr>
        <w:tc>
          <w:tcPr>
            <w:tcW w:w="1020" w:type="dxa"/>
          </w:tcPr>
          <w:p w:rsidR="007314CE" w:rsidRPr="00963F0B" w:rsidRDefault="007314CE" w:rsidP="00C46623">
            <w:pPr>
              <w:ind w:firstLine="0"/>
              <w:jc w:val="center"/>
              <w:rPr>
                <w:rFonts w:cs="Times New Roman"/>
                <w:b/>
                <w:sz w:val="28"/>
                <w:szCs w:val="28"/>
              </w:rPr>
            </w:pPr>
            <w:r w:rsidRPr="00963F0B">
              <w:rPr>
                <w:rFonts w:cs="Times New Roman"/>
                <w:b/>
                <w:sz w:val="28"/>
                <w:szCs w:val="28"/>
              </w:rPr>
              <w:lastRenderedPageBreak/>
              <w:t>6</w:t>
            </w:r>
          </w:p>
        </w:tc>
        <w:tc>
          <w:tcPr>
            <w:tcW w:w="8079" w:type="dxa"/>
            <w:gridSpan w:val="4"/>
          </w:tcPr>
          <w:p w:rsidR="007314CE" w:rsidRPr="00963F0B" w:rsidRDefault="007314CE" w:rsidP="00C46623">
            <w:pPr>
              <w:ind w:firstLine="0"/>
              <w:jc w:val="center"/>
              <w:rPr>
                <w:rFonts w:cs="Times New Roman"/>
                <w:b/>
                <w:sz w:val="28"/>
                <w:szCs w:val="28"/>
              </w:rPr>
            </w:pPr>
            <w:r w:rsidRPr="00963F0B">
              <w:rPr>
                <w:rFonts w:cs="Times New Roman"/>
                <w:b/>
                <w:sz w:val="28"/>
                <w:szCs w:val="28"/>
              </w:rPr>
              <w:t>Produkty</w:t>
            </w:r>
          </w:p>
        </w:tc>
      </w:tr>
      <w:tr w:rsidR="007314CE" w:rsidRPr="00963F0B" w:rsidTr="00C46623">
        <w:trPr>
          <w:trHeight w:val="366"/>
        </w:trPr>
        <w:tc>
          <w:tcPr>
            <w:tcW w:w="1020" w:type="dxa"/>
          </w:tcPr>
          <w:p w:rsidR="007314CE" w:rsidRPr="00963F0B" w:rsidRDefault="007314CE" w:rsidP="00C46623">
            <w:pPr>
              <w:ind w:left="180"/>
              <w:jc w:val="center"/>
              <w:rPr>
                <w:rFonts w:cs="Times New Roman"/>
                <w:b/>
                <w:sz w:val="28"/>
                <w:szCs w:val="28"/>
              </w:rPr>
            </w:pPr>
          </w:p>
        </w:tc>
        <w:tc>
          <w:tcPr>
            <w:tcW w:w="1134" w:type="dxa"/>
          </w:tcPr>
          <w:p w:rsidR="007314CE" w:rsidRPr="00963F0B" w:rsidRDefault="007314CE" w:rsidP="00C46623">
            <w:pPr>
              <w:ind w:firstLine="0"/>
              <w:jc w:val="center"/>
              <w:rPr>
                <w:rFonts w:cs="Times New Roman"/>
                <w:b/>
                <w:sz w:val="28"/>
                <w:szCs w:val="28"/>
              </w:rPr>
            </w:pPr>
            <w:r w:rsidRPr="00963F0B">
              <w:rPr>
                <w:rFonts w:cs="Times New Roman"/>
                <w:b/>
                <w:sz w:val="28"/>
                <w:szCs w:val="28"/>
              </w:rPr>
              <w:t>640</w:t>
            </w:r>
          </w:p>
        </w:tc>
        <w:tc>
          <w:tcPr>
            <w:tcW w:w="1559" w:type="dxa"/>
          </w:tcPr>
          <w:p w:rsidR="007314CE" w:rsidRPr="00963F0B" w:rsidRDefault="007314CE" w:rsidP="00C46623">
            <w:pPr>
              <w:ind w:firstLine="0"/>
              <w:jc w:val="both"/>
              <w:rPr>
                <w:rFonts w:cs="Times New Roman"/>
                <w:sz w:val="20"/>
                <w:szCs w:val="20"/>
              </w:rPr>
            </w:pPr>
            <w:r w:rsidRPr="00963F0B">
              <w:rPr>
                <w:rFonts w:cs="Times New Roman"/>
                <w:sz w:val="20"/>
                <w:szCs w:val="20"/>
              </w:rPr>
              <w:t>Rozliczenia międzyokresowe kosztów</w:t>
            </w:r>
          </w:p>
        </w:tc>
        <w:tc>
          <w:tcPr>
            <w:tcW w:w="3118" w:type="dxa"/>
          </w:tcPr>
          <w:p w:rsidR="007314CE" w:rsidRPr="00963F0B" w:rsidRDefault="007314CE" w:rsidP="00C46623">
            <w:pPr>
              <w:ind w:firstLine="0"/>
              <w:jc w:val="both"/>
              <w:rPr>
                <w:rFonts w:cs="Times New Roman"/>
                <w:sz w:val="20"/>
                <w:szCs w:val="20"/>
              </w:rPr>
            </w:pPr>
            <w:r w:rsidRPr="00963F0B">
              <w:rPr>
                <w:rFonts w:cs="Times New Roman"/>
                <w:sz w:val="20"/>
                <w:szCs w:val="20"/>
              </w:rPr>
              <w:t>Ewidencja kosztów przyszłych okresów (rozliczenia czynne) oraz rezerw na wydatki przyszłych okresów (rozliczenia bierne).</w:t>
            </w:r>
          </w:p>
          <w:p w:rsidR="007314CE" w:rsidRPr="00963F0B" w:rsidRDefault="007314CE" w:rsidP="00C46623">
            <w:pPr>
              <w:ind w:firstLine="0"/>
              <w:jc w:val="both"/>
              <w:rPr>
                <w:rFonts w:cs="Times New Roman"/>
                <w:b/>
                <w:sz w:val="20"/>
                <w:szCs w:val="20"/>
              </w:rPr>
            </w:pPr>
            <w:r w:rsidRPr="00963F0B">
              <w:rPr>
                <w:rFonts w:cs="Times New Roman"/>
                <w:b/>
                <w:sz w:val="20"/>
                <w:szCs w:val="20"/>
              </w:rPr>
              <w:t>Uwzględniając zasadę istotności, rezygnuje się z rozliczeń międzyokresowych kosztów, nieistotnych co do wielkości wyniku lub kosztów występujących z tego samego tytułu i przechodzących z roku na rok w zbliżonej wysokości.</w:t>
            </w:r>
          </w:p>
        </w:tc>
        <w:tc>
          <w:tcPr>
            <w:tcW w:w="2268" w:type="dxa"/>
          </w:tcPr>
          <w:p w:rsidR="007314CE" w:rsidRPr="00963F0B" w:rsidRDefault="007314CE" w:rsidP="00C46623">
            <w:pPr>
              <w:jc w:val="both"/>
              <w:rPr>
                <w:rFonts w:cs="Times New Roman"/>
                <w:sz w:val="20"/>
                <w:szCs w:val="20"/>
              </w:rPr>
            </w:pPr>
          </w:p>
        </w:tc>
      </w:tr>
      <w:tr w:rsidR="007314CE" w:rsidRPr="00963F0B" w:rsidTr="00C46623">
        <w:trPr>
          <w:trHeight w:val="616"/>
        </w:trPr>
        <w:tc>
          <w:tcPr>
            <w:tcW w:w="1020" w:type="dxa"/>
          </w:tcPr>
          <w:p w:rsidR="007314CE" w:rsidRPr="00963F0B" w:rsidRDefault="007314CE" w:rsidP="00C46623">
            <w:pPr>
              <w:ind w:firstLine="0"/>
              <w:jc w:val="center"/>
              <w:rPr>
                <w:rFonts w:cs="Times New Roman"/>
                <w:b/>
                <w:sz w:val="28"/>
                <w:szCs w:val="28"/>
              </w:rPr>
            </w:pPr>
            <w:r w:rsidRPr="00963F0B">
              <w:rPr>
                <w:rFonts w:cs="Times New Roman"/>
                <w:b/>
                <w:sz w:val="28"/>
                <w:szCs w:val="28"/>
              </w:rPr>
              <w:t>7</w:t>
            </w:r>
          </w:p>
        </w:tc>
        <w:tc>
          <w:tcPr>
            <w:tcW w:w="8079" w:type="dxa"/>
            <w:gridSpan w:val="4"/>
          </w:tcPr>
          <w:p w:rsidR="007314CE" w:rsidRPr="00963F0B" w:rsidRDefault="007314CE" w:rsidP="00C46623">
            <w:pPr>
              <w:ind w:firstLine="0"/>
              <w:jc w:val="center"/>
              <w:rPr>
                <w:rFonts w:cs="Times New Roman"/>
                <w:sz w:val="20"/>
                <w:szCs w:val="20"/>
              </w:rPr>
            </w:pPr>
            <w:r w:rsidRPr="00963F0B">
              <w:rPr>
                <w:rFonts w:cs="Times New Roman"/>
                <w:b/>
                <w:sz w:val="28"/>
                <w:szCs w:val="28"/>
              </w:rPr>
              <w:t>Przychody, dochody i koszty</w:t>
            </w:r>
          </w:p>
        </w:tc>
      </w:tr>
      <w:tr w:rsidR="007314CE" w:rsidRPr="00E70949" w:rsidTr="00C46623">
        <w:trPr>
          <w:trHeight w:val="366"/>
        </w:trPr>
        <w:tc>
          <w:tcPr>
            <w:tcW w:w="1020" w:type="dxa"/>
          </w:tcPr>
          <w:p w:rsidR="007314CE" w:rsidRPr="00E70949" w:rsidRDefault="007314CE" w:rsidP="00C46623">
            <w:pPr>
              <w:ind w:left="180"/>
              <w:jc w:val="center"/>
              <w:rPr>
                <w:rFonts w:cs="Times New Roman"/>
                <w:b/>
                <w:sz w:val="28"/>
                <w:szCs w:val="28"/>
              </w:rPr>
            </w:pPr>
          </w:p>
        </w:tc>
        <w:tc>
          <w:tcPr>
            <w:tcW w:w="1134" w:type="dxa"/>
          </w:tcPr>
          <w:p w:rsidR="007314CE" w:rsidRPr="00E70949" w:rsidRDefault="007314CE" w:rsidP="00C46623">
            <w:pPr>
              <w:ind w:firstLine="0"/>
              <w:jc w:val="center"/>
              <w:rPr>
                <w:rFonts w:cs="Times New Roman"/>
                <w:b/>
                <w:sz w:val="28"/>
                <w:szCs w:val="28"/>
              </w:rPr>
            </w:pPr>
            <w:r w:rsidRPr="00E70949">
              <w:rPr>
                <w:rFonts w:cs="Times New Roman"/>
                <w:b/>
                <w:sz w:val="28"/>
                <w:szCs w:val="28"/>
              </w:rPr>
              <w:t>720</w:t>
            </w:r>
          </w:p>
        </w:tc>
        <w:tc>
          <w:tcPr>
            <w:tcW w:w="1559" w:type="dxa"/>
          </w:tcPr>
          <w:p w:rsidR="007314CE" w:rsidRPr="00E70949" w:rsidRDefault="007314CE" w:rsidP="00C46623">
            <w:pPr>
              <w:ind w:firstLine="0"/>
              <w:jc w:val="both"/>
              <w:rPr>
                <w:rFonts w:cs="Times New Roman"/>
                <w:sz w:val="20"/>
                <w:szCs w:val="20"/>
              </w:rPr>
            </w:pPr>
            <w:r w:rsidRPr="00E70949">
              <w:rPr>
                <w:rFonts w:cs="Times New Roman"/>
                <w:sz w:val="20"/>
                <w:szCs w:val="20"/>
              </w:rPr>
              <w:t>Przychody z tytułu dochodów budżetowych</w:t>
            </w:r>
          </w:p>
        </w:tc>
        <w:tc>
          <w:tcPr>
            <w:tcW w:w="3118" w:type="dxa"/>
          </w:tcPr>
          <w:p w:rsidR="007314CE" w:rsidRPr="00E70949" w:rsidRDefault="007314CE" w:rsidP="00C46623">
            <w:pPr>
              <w:ind w:firstLine="0"/>
              <w:jc w:val="both"/>
              <w:rPr>
                <w:rFonts w:cs="Times New Roman"/>
                <w:sz w:val="20"/>
                <w:szCs w:val="20"/>
              </w:rPr>
            </w:pPr>
            <w:r w:rsidRPr="00E70949">
              <w:rPr>
                <w:rFonts w:cs="Times New Roman"/>
                <w:sz w:val="20"/>
                <w:szCs w:val="20"/>
              </w:rPr>
              <w:t>Ewidencja przychodów z tytułu dochodów budżetowych związanych bezpośrednio z podstawową działalnością jednostki, w szczególności dochodów, do których zalicza się podatki, składki, opłaty, inne dochody jednostki samorządu terytorialnego oraz innych jednostek, należnych na podstawie odrębnych ustaw</w:t>
            </w:r>
          </w:p>
        </w:tc>
        <w:tc>
          <w:tcPr>
            <w:tcW w:w="2268" w:type="dxa"/>
          </w:tcPr>
          <w:p w:rsidR="007314CE" w:rsidRPr="00E70949" w:rsidRDefault="007314CE" w:rsidP="00C46623">
            <w:pPr>
              <w:ind w:firstLine="0"/>
              <w:jc w:val="both"/>
              <w:rPr>
                <w:rFonts w:cs="Times New Roman"/>
                <w:sz w:val="20"/>
                <w:szCs w:val="20"/>
              </w:rPr>
            </w:pPr>
            <w:r w:rsidRPr="00E70949">
              <w:rPr>
                <w:rFonts w:cs="Times New Roman"/>
                <w:sz w:val="20"/>
                <w:szCs w:val="20"/>
              </w:rPr>
              <w:t>Ewidencja szczegółowa zapewnia wyodrębnienie przychodów z tytułu dochodów budżetowych według pozycji planu finansowego</w:t>
            </w: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750</w:t>
            </w:r>
          </w:p>
        </w:tc>
        <w:tc>
          <w:tcPr>
            <w:tcW w:w="1559" w:type="dxa"/>
          </w:tcPr>
          <w:p w:rsidR="007314CE" w:rsidRPr="00E70949" w:rsidRDefault="007314CE" w:rsidP="00C46623">
            <w:pPr>
              <w:ind w:firstLine="0"/>
              <w:jc w:val="both"/>
              <w:rPr>
                <w:sz w:val="20"/>
                <w:szCs w:val="20"/>
              </w:rPr>
            </w:pPr>
            <w:r w:rsidRPr="00E70949">
              <w:rPr>
                <w:sz w:val="20"/>
                <w:szCs w:val="20"/>
              </w:rPr>
              <w:t>Przychody finansowe</w:t>
            </w:r>
          </w:p>
        </w:tc>
        <w:tc>
          <w:tcPr>
            <w:tcW w:w="3118" w:type="dxa"/>
          </w:tcPr>
          <w:p w:rsidR="007314CE" w:rsidRPr="00E70949" w:rsidRDefault="007314CE" w:rsidP="00C46623">
            <w:pPr>
              <w:ind w:firstLine="0"/>
              <w:jc w:val="both"/>
              <w:rPr>
                <w:sz w:val="20"/>
                <w:szCs w:val="20"/>
              </w:rPr>
            </w:pPr>
            <w:r w:rsidRPr="00E70949">
              <w:rPr>
                <w:sz w:val="20"/>
                <w:szCs w:val="20"/>
              </w:rPr>
              <w:t>Służy do ewidencji przychodów finansowych, w szczególności odsetek za zwłokę w zapłacie należności, odsetek od rachunku bankowego</w:t>
            </w:r>
          </w:p>
        </w:tc>
        <w:tc>
          <w:tcPr>
            <w:tcW w:w="2268" w:type="dxa"/>
          </w:tcPr>
          <w:p w:rsidR="007314CE" w:rsidRPr="00E70949" w:rsidRDefault="007314CE" w:rsidP="00C46623">
            <w:pPr>
              <w:ind w:firstLine="0"/>
              <w:jc w:val="both"/>
              <w:rPr>
                <w:sz w:val="20"/>
                <w:szCs w:val="20"/>
              </w:rPr>
            </w:pPr>
            <w:r w:rsidRPr="00E70949">
              <w:rPr>
                <w:sz w:val="20"/>
                <w:szCs w:val="20"/>
              </w:rPr>
              <w:t xml:space="preserve">Ewidencja szczegółowa zapewnia wyodrębnienie przychodów finansowych </w:t>
            </w: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751</w:t>
            </w:r>
          </w:p>
        </w:tc>
        <w:tc>
          <w:tcPr>
            <w:tcW w:w="1559" w:type="dxa"/>
          </w:tcPr>
          <w:p w:rsidR="007314CE" w:rsidRPr="00E70949" w:rsidRDefault="007314CE" w:rsidP="00C46623">
            <w:pPr>
              <w:ind w:firstLine="0"/>
              <w:jc w:val="center"/>
              <w:rPr>
                <w:sz w:val="20"/>
                <w:szCs w:val="20"/>
              </w:rPr>
            </w:pPr>
            <w:r w:rsidRPr="00E70949">
              <w:rPr>
                <w:sz w:val="20"/>
                <w:szCs w:val="20"/>
              </w:rPr>
              <w:t>Koszty finansowe</w:t>
            </w:r>
          </w:p>
        </w:tc>
        <w:tc>
          <w:tcPr>
            <w:tcW w:w="3118" w:type="dxa"/>
          </w:tcPr>
          <w:p w:rsidR="007314CE" w:rsidRPr="00E70949" w:rsidRDefault="007314CE" w:rsidP="00C46623">
            <w:pPr>
              <w:ind w:firstLine="0"/>
              <w:jc w:val="both"/>
              <w:rPr>
                <w:sz w:val="20"/>
                <w:szCs w:val="20"/>
                <w:highlight w:val="yellow"/>
              </w:rPr>
            </w:pPr>
            <w:r w:rsidRPr="00E70949">
              <w:rPr>
                <w:sz w:val="20"/>
                <w:szCs w:val="20"/>
              </w:rPr>
              <w:t>Służy do ewidencji kosztów finansowych w szczególności  wartość sprzedanych udziałów, akcji i innych papierów wartościowych, odsetki od obligacji, odsetki od kredytów i  pożyczek, odsetki za zwłokę w zapłacie zobowiązań, odpisy aktualizujące wartości należności z tytułu operacji finansowych, ujemne różnice kursowe</w:t>
            </w:r>
          </w:p>
        </w:tc>
        <w:tc>
          <w:tcPr>
            <w:tcW w:w="2268" w:type="dxa"/>
          </w:tcPr>
          <w:p w:rsidR="007314CE" w:rsidRPr="00E70949" w:rsidRDefault="007314CE" w:rsidP="00C46623">
            <w:pPr>
              <w:ind w:firstLine="0"/>
              <w:jc w:val="both"/>
              <w:rPr>
                <w:sz w:val="20"/>
                <w:szCs w:val="20"/>
              </w:rPr>
            </w:pPr>
            <w:r w:rsidRPr="00E70949">
              <w:rPr>
                <w:sz w:val="20"/>
                <w:szCs w:val="20"/>
              </w:rPr>
              <w:t xml:space="preserve">Ewidencja szczegółowa powinna zapewnić wyodrębnienie w zakresie kosztów operacji finansowych </w:t>
            </w:r>
          </w:p>
        </w:tc>
      </w:tr>
    </w:tbl>
    <w:p w:rsidR="007314CE" w:rsidRPr="00E70949" w:rsidRDefault="007314CE" w:rsidP="007314CE">
      <w:r w:rsidRPr="00E70949">
        <w:br w:type="page"/>
      </w:r>
    </w:p>
    <w:tbl>
      <w:tblPr>
        <w:tblpPr w:leftFromText="141" w:rightFromText="141" w:vertAnchor="text" w:horzAnchor="margin" w:tblpY="-396"/>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1134"/>
        <w:gridCol w:w="1276"/>
        <w:gridCol w:w="3402"/>
        <w:gridCol w:w="1984"/>
      </w:tblGrid>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both"/>
              <w:rPr>
                <w:b/>
                <w:sz w:val="28"/>
                <w:szCs w:val="28"/>
              </w:rPr>
            </w:pPr>
            <w:r w:rsidRPr="00E70949">
              <w:rPr>
                <w:b/>
                <w:sz w:val="28"/>
                <w:szCs w:val="28"/>
              </w:rPr>
              <w:t>760</w:t>
            </w:r>
          </w:p>
        </w:tc>
        <w:tc>
          <w:tcPr>
            <w:tcW w:w="1276" w:type="dxa"/>
          </w:tcPr>
          <w:p w:rsidR="007314CE" w:rsidRPr="00E70949" w:rsidRDefault="007314CE" w:rsidP="00C46623">
            <w:pPr>
              <w:ind w:firstLine="0"/>
              <w:jc w:val="both"/>
              <w:rPr>
                <w:sz w:val="20"/>
                <w:szCs w:val="20"/>
              </w:rPr>
            </w:pPr>
            <w:r w:rsidRPr="00E70949">
              <w:rPr>
                <w:sz w:val="20"/>
                <w:szCs w:val="20"/>
              </w:rPr>
              <w:t>Pozostałe przychody operacyjne</w:t>
            </w:r>
          </w:p>
        </w:tc>
        <w:tc>
          <w:tcPr>
            <w:tcW w:w="3402" w:type="dxa"/>
          </w:tcPr>
          <w:p w:rsidR="007314CE" w:rsidRPr="00E70949" w:rsidRDefault="007314CE" w:rsidP="00C46623">
            <w:pPr>
              <w:ind w:firstLine="0"/>
              <w:jc w:val="both"/>
              <w:rPr>
                <w:sz w:val="20"/>
                <w:szCs w:val="20"/>
              </w:rPr>
            </w:pPr>
            <w:r w:rsidRPr="00E70949">
              <w:rPr>
                <w:sz w:val="20"/>
                <w:szCs w:val="20"/>
              </w:rPr>
              <w:t>Służy do ewidencji  przychodów  niezwiązanych bezpośrednio z podstawową działalnością jednostki, w tym wszelkich innych przychodów niż podlegające ewidencji na koncie 720,750, w szczególności przychody ze sprzedaży środków trwałych, wartości niematerialnych i prawnych oraz środków trwałych w budowie, odpisane przedawnione zobowiązania, otrzymane odszkodowania, kary</w:t>
            </w:r>
          </w:p>
          <w:p w:rsidR="007314CE" w:rsidRPr="00E70949" w:rsidRDefault="007314CE" w:rsidP="00C46623">
            <w:pPr>
              <w:ind w:firstLine="0"/>
              <w:jc w:val="both"/>
              <w:rPr>
                <w:sz w:val="20"/>
                <w:szCs w:val="20"/>
              </w:rPr>
            </w:pPr>
          </w:p>
        </w:tc>
        <w:tc>
          <w:tcPr>
            <w:tcW w:w="1984" w:type="dxa"/>
          </w:tcPr>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761</w:t>
            </w:r>
          </w:p>
        </w:tc>
        <w:tc>
          <w:tcPr>
            <w:tcW w:w="1276" w:type="dxa"/>
          </w:tcPr>
          <w:p w:rsidR="007314CE" w:rsidRPr="00E70949" w:rsidRDefault="007314CE" w:rsidP="00C46623">
            <w:pPr>
              <w:ind w:firstLine="0"/>
              <w:jc w:val="both"/>
              <w:rPr>
                <w:sz w:val="20"/>
                <w:szCs w:val="20"/>
              </w:rPr>
            </w:pPr>
            <w:r w:rsidRPr="00E70949">
              <w:rPr>
                <w:sz w:val="20"/>
                <w:szCs w:val="20"/>
              </w:rPr>
              <w:t>Pozostałe koszty operacyjne</w:t>
            </w:r>
          </w:p>
        </w:tc>
        <w:tc>
          <w:tcPr>
            <w:tcW w:w="3402" w:type="dxa"/>
          </w:tcPr>
          <w:p w:rsidR="007314CE" w:rsidRPr="00E70949" w:rsidRDefault="007314CE" w:rsidP="00C46623">
            <w:pPr>
              <w:ind w:firstLine="0"/>
              <w:jc w:val="both"/>
              <w:rPr>
                <w:sz w:val="20"/>
                <w:szCs w:val="20"/>
              </w:rPr>
            </w:pPr>
            <w:r w:rsidRPr="00E70949">
              <w:rPr>
                <w:sz w:val="20"/>
                <w:szCs w:val="20"/>
              </w:rPr>
              <w:t>Ewidencja kosztów niezwiązanych bezpośrednio z podstawową  działalnością jednostki, w szczególności kary, odpisane przedawnione, umorzone i nieściągalne należności, odpisy aktualizujące należności, koszty postepowania spornego i egzekucyjnego oraz nieodpłatnie przekazane aktywa obrotowe</w:t>
            </w:r>
          </w:p>
          <w:p w:rsidR="007314CE" w:rsidRPr="00E70949" w:rsidRDefault="007314CE" w:rsidP="00C46623">
            <w:pPr>
              <w:ind w:firstLine="0"/>
              <w:jc w:val="both"/>
              <w:rPr>
                <w:sz w:val="20"/>
                <w:szCs w:val="20"/>
              </w:rPr>
            </w:pPr>
          </w:p>
        </w:tc>
        <w:tc>
          <w:tcPr>
            <w:tcW w:w="1984" w:type="dxa"/>
          </w:tcPr>
          <w:p w:rsidR="007314CE" w:rsidRPr="00E70949" w:rsidRDefault="007314CE" w:rsidP="00C46623">
            <w:pPr>
              <w:jc w:val="both"/>
              <w:rPr>
                <w:sz w:val="20"/>
                <w:szCs w:val="20"/>
              </w:rPr>
            </w:pPr>
          </w:p>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firstLine="0"/>
              <w:jc w:val="center"/>
              <w:rPr>
                <w:b/>
                <w:sz w:val="28"/>
                <w:szCs w:val="28"/>
              </w:rPr>
            </w:pPr>
            <w:r w:rsidRPr="00E70949">
              <w:rPr>
                <w:b/>
                <w:sz w:val="28"/>
                <w:szCs w:val="28"/>
              </w:rPr>
              <w:t>8</w:t>
            </w:r>
          </w:p>
        </w:tc>
        <w:tc>
          <w:tcPr>
            <w:tcW w:w="7796" w:type="dxa"/>
            <w:gridSpan w:val="4"/>
          </w:tcPr>
          <w:p w:rsidR="007314CE" w:rsidRPr="00E70949" w:rsidRDefault="007314CE" w:rsidP="00C46623">
            <w:pPr>
              <w:ind w:firstLine="0"/>
              <w:jc w:val="center"/>
              <w:rPr>
                <w:b/>
                <w:sz w:val="28"/>
                <w:szCs w:val="28"/>
              </w:rPr>
            </w:pPr>
            <w:r w:rsidRPr="00E70949">
              <w:rPr>
                <w:b/>
                <w:sz w:val="28"/>
                <w:szCs w:val="28"/>
              </w:rPr>
              <w:t>Fundusze, rezerwy i wynik finansowy</w:t>
            </w:r>
          </w:p>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p>
          <w:p w:rsidR="007314CE" w:rsidRPr="00E70949" w:rsidRDefault="007314CE" w:rsidP="00C46623">
            <w:pPr>
              <w:ind w:firstLine="0"/>
              <w:jc w:val="center"/>
              <w:rPr>
                <w:b/>
                <w:sz w:val="28"/>
                <w:szCs w:val="28"/>
              </w:rPr>
            </w:pPr>
            <w:r w:rsidRPr="00E70949">
              <w:rPr>
                <w:b/>
                <w:sz w:val="28"/>
                <w:szCs w:val="28"/>
              </w:rPr>
              <w:t>800</w:t>
            </w:r>
          </w:p>
        </w:tc>
        <w:tc>
          <w:tcPr>
            <w:tcW w:w="1276" w:type="dxa"/>
          </w:tcPr>
          <w:p w:rsidR="007314CE" w:rsidRPr="00E70949" w:rsidRDefault="007314CE" w:rsidP="00C46623">
            <w:pPr>
              <w:ind w:firstLine="0"/>
              <w:jc w:val="both"/>
              <w:rPr>
                <w:sz w:val="20"/>
                <w:szCs w:val="20"/>
              </w:rPr>
            </w:pPr>
          </w:p>
          <w:p w:rsidR="007314CE" w:rsidRPr="00E70949" w:rsidRDefault="007314CE" w:rsidP="00C46623">
            <w:pPr>
              <w:ind w:firstLine="0"/>
              <w:jc w:val="both"/>
              <w:rPr>
                <w:sz w:val="20"/>
                <w:szCs w:val="20"/>
              </w:rPr>
            </w:pPr>
            <w:r w:rsidRPr="00E70949">
              <w:rPr>
                <w:sz w:val="20"/>
                <w:szCs w:val="20"/>
              </w:rPr>
              <w:t>Fundusz jednostki</w:t>
            </w:r>
          </w:p>
        </w:tc>
        <w:tc>
          <w:tcPr>
            <w:tcW w:w="3402" w:type="dxa"/>
          </w:tcPr>
          <w:p w:rsidR="007314CE" w:rsidRPr="00E70949" w:rsidRDefault="007314CE" w:rsidP="00C46623">
            <w:pPr>
              <w:ind w:firstLine="0"/>
              <w:rPr>
                <w:sz w:val="20"/>
                <w:szCs w:val="20"/>
              </w:rPr>
            </w:pPr>
          </w:p>
          <w:p w:rsidR="007314CE" w:rsidRPr="00E70949" w:rsidRDefault="007314CE" w:rsidP="00C46623">
            <w:pPr>
              <w:ind w:firstLine="0"/>
              <w:rPr>
                <w:sz w:val="20"/>
                <w:szCs w:val="20"/>
              </w:rPr>
            </w:pPr>
            <w:r w:rsidRPr="00E70949">
              <w:rPr>
                <w:sz w:val="20"/>
                <w:szCs w:val="20"/>
              </w:rPr>
              <w:t>Ewidencja równowartości aktywów trwałych i obrotowych jednostki i ich zmian</w:t>
            </w:r>
          </w:p>
          <w:p w:rsidR="007314CE" w:rsidRPr="00E70949" w:rsidRDefault="007314CE" w:rsidP="00C46623">
            <w:pPr>
              <w:ind w:firstLine="0"/>
              <w:rPr>
                <w:sz w:val="20"/>
                <w:szCs w:val="20"/>
              </w:rPr>
            </w:pPr>
          </w:p>
        </w:tc>
        <w:tc>
          <w:tcPr>
            <w:tcW w:w="1984" w:type="dxa"/>
          </w:tcPr>
          <w:p w:rsidR="007314CE" w:rsidRPr="00E70949" w:rsidRDefault="007314CE" w:rsidP="00C46623">
            <w:pPr>
              <w:ind w:firstLine="0"/>
              <w:jc w:val="both"/>
              <w:rPr>
                <w:sz w:val="20"/>
                <w:szCs w:val="20"/>
              </w:rPr>
            </w:pPr>
          </w:p>
          <w:p w:rsidR="007314CE" w:rsidRPr="00E70949" w:rsidRDefault="007314CE" w:rsidP="00C46623">
            <w:pPr>
              <w:ind w:firstLine="0"/>
              <w:jc w:val="both"/>
              <w:rPr>
                <w:sz w:val="20"/>
                <w:szCs w:val="20"/>
                <w:highlight w:val="yellow"/>
              </w:rPr>
            </w:pPr>
            <w:r w:rsidRPr="00E70949">
              <w:rPr>
                <w:sz w:val="20"/>
                <w:szCs w:val="20"/>
              </w:rPr>
              <w:t xml:space="preserve">Ewidencja szczegółowa powinna zapewnić możliwość ustalenia przyczyn zwiększeń i zmniejszeń funduszu jednostki </w:t>
            </w:r>
          </w:p>
        </w:tc>
      </w:tr>
    </w:tbl>
    <w:p w:rsidR="007314CE" w:rsidRPr="00E70949" w:rsidRDefault="007314CE" w:rsidP="007314CE">
      <w:r w:rsidRPr="00E70949">
        <w:br w:type="page"/>
      </w:r>
    </w:p>
    <w:tbl>
      <w:tblPr>
        <w:tblpPr w:leftFromText="141" w:rightFromText="141" w:vertAnchor="text" w:horzAnchor="margin" w:tblpY="945"/>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1134"/>
        <w:gridCol w:w="1276"/>
        <w:gridCol w:w="3402"/>
        <w:gridCol w:w="1984"/>
      </w:tblGrid>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810</w:t>
            </w:r>
          </w:p>
        </w:tc>
        <w:tc>
          <w:tcPr>
            <w:tcW w:w="1276" w:type="dxa"/>
          </w:tcPr>
          <w:p w:rsidR="007314CE" w:rsidRPr="00E70949" w:rsidRDefault="007314CE" w:rsidP="00C46623">
            <w:pPr>
              <w:ind w:firstLine="0"/>
              <w:jc w:val="both"/>
              <w:rPr>
                <w:sz w:val="20"/>
                <w:szCs w:val="20"/>
              </w:rPr>
            </w:pPr>
            <w:r w:rsidRPr="00E70949">
              <w:rPr>
                <w:sz w:val="20"/>
                <w:szCs w:val="20"/>
              </w:rPr>
              <w:t>Dotacje budżetowe, płatności z budżetu środków europejskich oraz środki z budżetu na inwestycje</w:t>
            </w:r>
          </w:p>
        </w:tc>
        <w:tc>
          <w:tcPr>
            <w:tcW w:w="3402" w:type="dxa"/>
          </w:tcPr>
          <w:p w:rsidR="007314CE" w:rsidRPr="00E70949" w:rsidRDefault="007314CE" w:rsidP="00C46623">
            <w:pPr>
              <w:spacing w:after="0"/>
              <w:ind w:firstLine="0"/>
              <w:jc w:val="both"/>
              <w:rPr>
                <w:sz w:val="20"/>
                <w:szCs w:val="20"/>
              </w:rPr>
            </w:pPr>
            <w:r w:rsidRPr="00E70949">
              <w:rPr>
                <w:sz w:val="20"/>
                <w:szCs w:val="20"/>
              </w:rPr>
              <w:t>Służy do ewidencji, w szczególności:</w:t>
            </w:r>
          </w:p>
          <w:p w:rsidR="007314CE" w:rsidRPr="00E70949" w:rsidRDefault="007314CE" w:rsidP="00C46623">
            <w:pPr>
              <w:spacing w:after="0"/>
              <w:ind w:firstLine="0"/>
              <w:jc w:val="both"/>
              <w:rPr>
                <w:sz w:val="20"/>
                <w:szCs w:val="20"/>
              </w:rPr>
            </w:pPr>
            <w:r w:rsidRPr="00E70949">
              <w:rPr>
                <w:sz w:val="20"/>
                <w:szCs w:val="20"/>
              </w:rPr>
              <w:t>- dotacji budżetowych;</w:t>
            </w:r>
          </w:p>
          <w:p w:rsidR="007314CE" w:rsidRPr="00E70949" w:rsidRDefault="007314CE" w:rsidP="00C46623">
            <w:pPr>
              <w:spacing w:after="0"/>
              <w:ind w:firstLine="0"/>
              <w:jc w:val="both"/>
              <w:rPr>
                <w:sz w:val="20"/>
                <w:szCs w:val="20"/>
              </w:rPr>
            </w:pPr>
            <w:r w:rsidRPr="00E70949">
              <w:rPr>
                <w:sz w:val="20"/>
                <w:szCs w:val="20"/>
              </w:rPr>
              <w:t>- płatności z budżetu środków europejskich;</w:t>
            </w:r>
          </w:p>
          <w:p w:rsidR="007314CE" w:rsidRPr="00E70949" w:rsidRDefault="007314CE" w:rsidP="00C46623">
            <w:pPr>
              <w:spacing w:after="0"/>
              <w:ind w:firstLine="0"/>
              <w:jc w:val="both"/>
              <w:rPr>
                <w:sz w:val="20"/>
                <w:szCs w:val="20"/>
              </w:rPr>
            </w:pPr>
            <w:r w:rsidRPr="00E70949">
              <w:rPr>
                <w:sz w:val="20"/>
                <w:szCs w:val="20"/>
              </w:rPr>
              <w:t>- równowartości wydatków dokonanych przez jednostki budżetowe ze środków budżetu na finansowanie: środków trwałych w budowie, zakupu środków trwałych oraz wartości niematerialnych i prawnych</w:t>
            </w:r>
          </w:p>
          <w:p w:rsidR="007314CE" w:rsidRPr="00E70949" w:rsidRDefault="007314CE" w:rsidP="00C46623">
            <w:pPr>
              <w:jc w:val="both"/>
              <w:rPr>
                <w:sz w:val="20"/>
                <w:szCs w:val="20"/>
              </w:rPr>
            </w:pPr>
          </w:p>
        </w:tc>
        <w:tc>
          <w:tcPr>
            <w:tcW w:w="1984" w:type="dxa"/>
          </w:tcPr>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840</w:t>
            </w:r>
          </w:p>
        </w:tc>
        <w:tc>
          <w:tcPr>
            <w:tcW w:w="1276" w:type="dxa"/>
          </w:tcPr>
          <w:p w:rsidR="007314CE" w:rsidRPr="00E70949" w:rsidRDefault="007314CE" w:rsidP="00C46623">
            <w:pPr>
              <w:ind w:firstLine="0"/>
              <w:jc w:val="both"/>
              <w:rPr>
                <w:sz w:val="20"/>
                <w:szCs w:val="20"/>
              </w:rPr>
            </w:pPr>
            <w:r w:rsidRPr="00E70949">
              <w:rPr>
                <w:sz w:val="20"/>
                <w:szCs w:val="20"/>
              </w:rPr>
              <w:t>Rezerwy i rozliczenia międzyokresowe przychodów</w:t>
            </w:r>
          </w:p>
        </w:tc>
        <w:tc>
          <w:tcPr>
            <w:tcW w:w="3402" w:type="dxa"/>
          </w:tcPr>
          <w:p w:rsidR="007314CE" w:rsidRPr="00E70949" w:rsidRDefault="007314CE" w:rsidP="00C46623">
            <w:pPr>
              <w:ind w:firstLine="0"/>
              <w:rPr>
                <w:sz w:val="20"/>
                <w:szCs w:val="20"/>
              </w:rPr>
            </w:pPr>
            <w:r w:rsidRPr="00E70949">
              <w:rPr>
                <w:sz w:val="20"/>
                <w:szCs w:val="20"/>
              </w:rPr>
              <w:t>Ewidencja przychodów zaliczanych do przyszłych okresów oraz innych rozliczeń międzyokresowych i rezerw</w:t>
            </w:r>
          </w:p>
        </w:tc>
        <w:tc>
          <w:tcPr>
            <w:tcW w:w="1984" w:type="dxa"/>
          </w:tcPr>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851</w:t>
            </w:r>
          </w:p>
        </w:tc>
        <w:tc>
          <w:tcPr>
            <w:tcW w:w="1276" w:type="dxa"/>
          </w:tcPr>
          <w:p w:rsidR="007314CE" w:rsidRPr="00E70949" w:rsidRDefault="007314CE" w:rsidP="00C46623">
            <w:pPr>
              <w:ind w:firstLine="0"/>
              <w:jc w:val="both"/>
              <w:rPr>
                <w:sz w:val="20"/>
                <w:szCs w:val="20"/>
              </w:rPr>
            </w:pPr>
            <w:r w:rsidRPr="00E70949">
              <w:rPr>
                <w:sz w:val="20"/>
                <w:szCs w:val="20"/>
              </w:rPr>
              <w:t>Zakładowy fundusz świadczeń socjalnych</w:t>
            </w:r>
          </w:p>
        </w:tc>
        <w:tc>
          <w:tcPr>
            <w:tcW w:w="3402" w:type="dxa"/>
          </w:tcPr>
          <w:p w:rsidR="007314CE" w:rsidRPr="00E70949" w:rsidRDefault="007314CE" w:rsidP="00C46623">
            <w:pPr>
              <w:ind w:firstLine="0"/>
              <w:jc w:val="both"/>
              <w:rPr>
                <w:sz w:val="20"/>
                <w:szCs w:val="20"/>
              </w:rPr>
            </w:pPr>
            <w:r w:rsidRPr="00E70949">
              <w:rPr>
                <w:sz w:val="20"/>
                <w:szCs w:val="20"/>
              </w:rPr>
              <w:t>Ewidencja stanu oraz zwiększeń i zmniejszeń zakładowego funduszu świadczeń socjalnych</w:t>
            </w:r>
          </w:p>
        </w:tc>
        <w:tc>
          <w:tcPr>
            <w:tcW w:w="1984" w:type="dxa"/>
          </w:tcPr>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855</w:t>
            </w:r>
          </w:p>
        </w:tc>
        <w:tc>
          <w:tcPr>
            <w:tcW w:w="1276" w:type="dxa"/>
          </w:tcPr>
          <w:p w:rsidR="007314CE" w:rsidRPr="00E70949" w:rsidRDefault="007314CE" w:rsidP="00C46623">
            <w:pPr>
              <w:ind w:firstLine="0"/>
              <w:jc w:val="both"/>
              <w:rPr>
                <w:sz w:val="20"/>
                <w:szCs w:val="20"/>
              </w:rPr>
            </w:pPr>
            <w:r w:rsidRPr="00E70949">
              <w:rPr>
                <w:sz w:val="20"/>
                <w:szCs w:val="20"/>
              </w:rPr>
              <w:t>Fundusz mienia zlikwidowanych jednostek</w:t>
            </w:r>
          </w:p>
        </w:tc>
        <w:tc>
          <w:tcPr>
            <w:tcW w:w="3402" w:type="dxa"/>
          </w:tcPr>
          <w:p w:rsidR="007314CE" w:rsidRPr="00E70949" w:rsidRDefault="007314CE" w:rsidP="00C46623">
            <w:pPr>
              <w:ind w:firstLine="0"/>
              <w:jc w:val="both"/>
              <w:rPr>
                <w:sz w:val="20"/>
                <w:szCs w:val="20"/>
              </w:rPr>
            </w:pPr>
            <w:r w:rsidRPr="00E70949">
              <w:rPr>
                <w:sz w:val="20"/>
                <w:szCs w:val="20"/>
              </w:rPr>
              <w:t>Służy do ewidencji równowartości mienia zlikwidowanych przedsiębiorstw państwowych, komunalnych lub innych jednostek organizacyjnych, przyjętego przez organy założycielskie i nadzorujące</w:t>
            </w:r>
          </w:p>
        </w:tc>
        <w:tc>
          <w:tcPr>
            <w:tcW w:w="1984" w:type="dxa"/>
          </w:tcPr>
          <w:p w:rsidR="007314CE" w:rsidRPr="00E70949" w:rsidRDefault="007314CE" w:rsidP="00C46623">
            <w:pPr>
              <w:jc w:val="both"/>
              <w:rPr>
                <w:sz w:val="20"/>
                <w:szCs w:val="20"/>
              </w:rPr>
            </w:pPr>
          </w:p>
        </w:tc>
      </w:tr>
      <w:tr w:rsidR="007314CE" w:rsidRPr="00E70949" w:rsidTr="00C46623">
        <w:trPr>
          <w:trHeight w:val="366"/>
        </w:trPr>
        <w:tc>
          <w:tcPr>
            <w:tcW w:w="1020" w:type="dxa"/>
          </w:tcPr>
          <w:p w:rsidR="007314CE" w:rsidRPr="00E70949" w:rsidRDefault="007314CE" w:rsidP="00C46623">
            <w:pPr>
              <w:ind w:left="180"/>
              <w:jc w:val="center"/>
              <w:rPr>
                <w:b/>
                <w:sz w:val="28"/>
                <w:szCs w:val="28"/>
              </w:rPr>
            </w:pPr>
          </w:p>
        </w:tc>
        <w:tc>
          <w:tcPr>
            <w:tcW w:w="1134" w:type="dxa"/>
          </w:tcPr>
          <w:p w:rsidR="007314CE" w:rsidRPr="00E70949" w:rsidRDefault="007314CE" w:rsidP="00C46623">
            <w:pPr>
              <w:ind w:firstLine="0"/>
              <w:jc w:val="center"/>
              <w:rPr>
                <w:b/>
                <w:sz w:val="28"/>
                <w:szCs w:val="28"/>
              </w:rPr>
            </w:pPr>
            <w:r w:rsidRPr="00E70949">
              <w:rPr>
                <w:b/>
                <w:sz w:val="28"/>
                <w:szCs w:val="28"/>
              </w:rPr>
              <w:t>860</w:t>
            </w:r>
          </w:p>
        </w:tc>
        <w:tc>
          <w:tcPr>
            <w:tcW w:w="1276" w:type="dxa"/>
          </w:tcPr>
          <w:p w:rsidR="007314CE" w:rsidRPr="00E70949" w:rsidRDefault="007314CE" w:rsidP="00C46623">
            <w:pPr>
              <w:ind w:firstLine="0"/>
              <w:jc w:val="both"/>
              <w:rPr>
                <w:sz w:val="20"/>
                <w:szCs w:val="20"/>
              </w:rPr>
            </w:pPr>
            <w:r w:rsidRPr="00E70949">
              <w:rPr>
                <w:sz w:val="20"/>
                <w:szCs w:val="20"/>
              </w:rPr>
              <w:t>Wynik finansowy</w:t>
            </w:r>
          </w:p>
        </w:tc>
        <w:tc>
          <w:tcPr>
            <w:tcW w:w="3402" w:type="dxa"/>
          </w:tcPr>
          <w:p w:rsidR="007314CE" w:rsidRPr="00E70949" w:rsidRDefault="007314CE" w:rsidP="00C46623">
            <w:pPr>
              <w:ind w:firstLine="0"/>
              <w:rPr>
                <w:sz w:val="20"/>
                <w:szCs w:val="20"/>
              </w:rPr>
            </w:pPr>
            <w:r w:rsidRPr="00E70949">
              <w:rPr>
                <w:sz w:val="20"/>
                <w:szCs w:val="20"/>
              </w:rPr>
              <w:t>Służy do ustalenia wyniku finansowego jednostki.</w:t>
            </w:r>
          </w:p>
          <w:p w:rsidR="007314CE" w:rsidRPr="00E70949" w:rsidRDefault="007314CE" w:rsidP="00C46623">
            <w:pPr>
              <w:ind w:firstLine="0"/>
              <w:rPr>
                <w:sz w:val="20"/>
                <w:szCs w:val="20"/>
              </w:rPr>
            </w:pPr>
            <w:r w:rsidRPr="00E70949">
              <w:rPr>
                <w:sz w:val="20"/>
                <w:szCs w:val="20"/>
              </w:rPr>
              <w:t>Saldo jest przenoszone w roku następnym, pod datą zatwierdzenia  sprawozdania finansowego</w:t>
            </w:r>
          </w:p>
          <w:p w:rsidR="007314CE" w:rsidRPr="00E70949" w:rsidRDefault="007314CE" w:rsidP="00C46623">
            <w:pPr>
              <w:jc w:val="both"/>
              <w:rPr>
                <w:sz w:val="20"/>
                <w:szCs w:val="20"/>
              </w:rPr>
            </w:pPr>
          </w:p>
        </w:tc>
        <w:tc>
          <w:tcPr>
            <w:tcW w:w="1984" w:type="dxa"/>
          </w:tcPr>
          <w:p w:rsidR="007314CE" w:rsidRPr="00E70949" w:rsidRDefault="007314CE" w:rsidP="00C46623">
            <w:pPr>
              <w:jc w:val="both"/>
              <w:rPr>
                <w:sz w:val="20"/>
                <w:szCs w:val="20"/>
              </w:rPr>
            </w:pPr>
          </w:p>
        </w:tc>
      </w:tr>
    </w:tbl>
    <w:p w:rsidR="007314CE" w:rsidRPr="00E70949" w:rsidRDefault="007314CE" w:rsidP="007314CE">
      <w:r w:rsidRPr="00E70949">
        <w:br w:type="page"/>
      </w:r>
    </w:p>
    <w:tbl>
      <w:tblPr>
        <w:tblpPr w:leftFromText="141" w:rightFromText="141" w:vertAnchor="text" w:horzAnchor="margin" w:tblpY="-3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2079"/>
        <w:gridCol w:w="3600"/>
        <w:gridCol w:w="2520"/>
      </w:tblGrid>
      <w:tr w:rsidR="007314CE" w:rsidRPr="00E70949" w:rsidTr="00C46623">
        <w:trPr>
          <w:trHeight w:val="364"/>
        </w:trPr>
        <w:tc>
          <w:tcPr>
            <w:tcW w:w="1161" w:type="dxa"/>
            <w:tcBorders>
              <w:top w:val="single" w:sz="4" w:space="0" w:color="auto"/>
              <w:left w:val="single" w:sz="4" w:space="0" w:color="auto"/>
              <w:bottom w:val="single" w:sz="4" w:space="0" w:color="auto"/>
              <w:right w:val="nil"/>
            </w:tcBorders>
          </w:tcPr>
          <w:p w:rsidR="007314CE" w:rsidRPr="00E70949" w:rsidRDefault="007314CE" w:rsidP="00C46623">
            <w:pPr>
              <w:ind w:firstLine="0"/>
              <w:jc w:val="center"/>
              <w:rPr>
                <w:b/>
                <w:sz w:val="20"/>
                <w:szCs w:val="20"/>
              </w:rPr>
            </w:pPr>
          </w:p>
        </w:tc>
        <w:tc>
          <w:tcPr>
            <w:tcW w:w="2079" w:type="dxa"/>
            <w:tcBorders>
              <w:top w:val="single" w:sz="4" w:space="0" w:color="auto"/>
              <w:left w:val="nil"/>
              <w:bottom w:val="single" w:sz="4" w:space="0" w:color="auto"/>
              <w:right w:val="nil"/>
            </w:tcBorders>
          </w:tcPr>
          <w:p w:rsidR="007314CE" w:rsidRPr="00E70949" w:rsidRDefault="007314CE" w:rsidP="00C46623">
            <w:pPr>
              <w:ind w:firstLine="0"/>
              <w:rPr>
                <w:b/>
                <w:sz w:val="24"/>
                <w:szCs w:val="24"/>
              </w:rPr>
            </w:pPr>
            <w:r w:rsidRPr="00E70949">
              <w:rPr>
                <w:b/>
                <w:sz w:val="24"/>
                <w:szCs w:val="24"/>
              </w:rPr>
              <w:t>Konta pozabilansowe</w:t>
            </w:r>
          </w:p>
        </w:tc>
        <w:tc>
          <w:tcPr>
            <w:tcW w:w="3600" w:type="dxa"/>
            <w:tcBorders>
              <w:top w:val="single" w:sz="4" w:space="0" w:color="auto"/>
              <w:left w:val="nil"/>
              <w:bottom w:val="single" w:sz="4" w:space="0" w:color="auto"/>
              <w:right w:val="nil"/>
            </w:tcBorders>
          </w:tcPr>
          <w:p w:rsidR="007314CE" w:rsidRPr="00E70949" w:rsidRDefault="007314CE" w:rsidP="00C46623">
            <w:pPr>
              <w:ind w:firstLine="0"/>
              <w:jc w:val="both"/>
              <w:rPr>
                <w:b/>
                <w:sz w:val="24"/>
                <w:szCs w:val="24"/>
              </w:rPr>
            </w:pPr>
          </w:p>
        </w:tc>
        <w:tc>
          <w:tcPr>
            <w:tcW w:w="2520" w:type="dxa"/>
            <w:tcBorders>
              <w:top w:val="single" w:sz="4" w:space="0" w:color="auto"/>
              <w:left w:val="nil"/>
              <w:bottom w:val="single" w:sz="4" w:space="0" w:color="auto"/>
              <w:right w:val="single" w:sz="4" w:space="0" w:color="auto"/>
            </w:tcBorders>
          </w:tcPr>
          <w:p w:rsidR="007314CE" w:rsidRPr="00E70949" w:rsidRDefault="007314CE" w:rsidP="00C46623">
            <w:pPr>
              <w:ind w:firstLine="0"/>
              <w:jc w:val="both"/>
              <w:rPr>
                <w:sz w:val="20"/>
                <w:szCs w:val="20"/>
              </w:rPr>
            </w:pP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0"/>
                <w:szCs w:val="20"/>
              </w:rPr>
            </w:pPr>
            <w:r w:rsidRPr="00E70949">
              <w:rPr>
                <w:b/>
                <w:sz w:val="20"/>
                <w:szCs w:val="20"/>
              </w:rPr>
              <w:t>Numer konta</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Nazwa konta</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Zasady klasyfikacji zdarzeń</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Uwagi</w:t>
            </w: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r w:rsidRPr="00E70949">
              <w:t>1</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r w:rsidRPr="00E70949">
              <w:t>2</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r w:rsidRPr="00E70949">
              <w:t>3</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r w:rsidRPr="00E70949">
              <w:t>4</w:t>
            </w: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012</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Środki trwałe przyjęte na rzecz powiatu</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Konto 012 służy do ewidencji ruchomości – pojazdów, które stały się własnością powiatu jarocińskiego na podstawie orzeczeń sadowych o ich przepadku.</w:t>
            </w:r>
          </w:p>
          <w:p w:rsidR="007314CE" w:rsidRPr="00E70949" w:rsidRDefault="007314CE" w:rsidP="00C46623">
            <w:pPr>
              <w:ind w:firstLine="0"/>
              <w:jc w:val="both"/>
              <w:rPr>
                <w:sz w:val="20"/>
                <w:szCs w:val="20"/>
              </w:rPr>
            </w:pPr>
            <w:r w:rsidRPr="00E70949">
              <w:rPr>
                <w:sz w:val="20"/>
                <w:szCs w:val="20"/>
              </w:rPr>
              <w:t>Na stronie Wn ujmuje się operacje dotyczące przejęcia pojazdów, natomiast na stronie Ma operacje zbycia pojazdów, w szczególności sprzedaży, nieodpłatnego przekazania.</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019</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Obce środki trwałe</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 xml:space="preserve">Służy do ewidencji użyczonych Starostwu obcych środków trwałych oraz do ewidencji nieruchomości wchodzących w skład zasobu Skarbu Państwa. </w:t>
            </w:r>
          </w:p>
          <w:p w:rsidR="007314CE" w:rsidRPr="00E70949" w:rsidRDefault="007314CE" w:rsidP="00C46623">
            <w:pPr>
              <w:ind w:firstLine="0"/>
              <w:jc w:val="both"/>
              <w:rPr>
                <w:sz w:val="20"/>
                <w:szCs w:val="20"/>
              </w:rPr>
            </w:pPr>
            <w:r w:rsidRPr="00E70949">
              <w:rPr>
                <w:sz w:val="20"/>
                <w:szCs w:val="20"/>
              </w:rPr>
              <w:t>Na stronie Wn ujmuje się operacje dotyczące otrzymania na podstawie umów  środków trwałych i pozostałych środków trwałych w użytkowanie oraz oddanie Starostwu do zarządzania nieruchomości wchodzących w skład zasobu Skarbu Państwa, a na stronie Ma – ich zwrot właścicielowi po wygaśnięciu umów, decyzji oraz nieodpłatne przekazanie na własność Starostwu. Saldo oznacza wartość obcych środków trwałych pozostających na stanie jednostki.</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Ewidencja szczegółowa prowadzona jest według grup środków trwałych</w:t>
            </w: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241</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Pozostałe rozrachunki z kontrahentami</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 xml:space="preserve">Ewidencja zabezpieczenia należytego wykonania umów, weksli, gwarancji bankowych, gwarancji ubezpieczeniowych i poręczeń </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p>
        </w:tc>
      </w:tr>
      <w:tr w:rsidR="007314CE" w:rsidRPr="00E7094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br w:type="page"/>
            </w:r>
            <w:r w:rsidRPr="00E70949">
              <w:rPr>
                <w:b/>
                <w:sz w:val="28"/>
                <w:szCs w:val="28"/>
              </w:rPr>
              <w:t>976</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Wzajemne rozliczenia między jednostkami</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spacing w:after="0"/>
              <w:ind w:firstLine="0"/>
              <w:jc w:val="both"/>
              <w:rPr>
                <w:sz w:val="20"/>
                <w:szCs w:val="20"/>
              </w:rPr>
            </w:pPr>
            <w:r w:rsidRPr="00E70949">
              <w:rPr>
                <w:sz w:val="20"/>
                <w:szCs w:val="20"/>
              </w:rPr>
              <w:t>Służy do ewidencji kwot wynikających ze wzajemnych rozliczeń między jednostkami w celu sporządzenia łącznego sprawozdania finansowego, w tym:</w:t>
            </w:r>
          </w:p>
          <w:p w:rsidR="007314CE" w:rsidRPr="00E70949" w:rsidRDefault="007314CE" w:rsidP="00C46623">
            <w:pPr>
              <w:spacing w:after="0"/>
              <w:ind w:firstLine="0"/>
              <w:jc w:val="both"/>
              <w:rPr>
                <w:sz w:val="20"/>
                <w:szCs w:val="20"/>
              </w:rPr>
            </w:pPr>
            <w:r w:rsidRPr="00E70949">
              <w:rPr>
                <w:sz w:val="20"/>
                <w:szCs w:val="20"/>
              </w:rPr>
              <w:t>- wzajemnych należności i zobowiązań oraz innych rozrachunków o podobnym charakterze;</w:t>
            </w:r>
          </w:p>
          <w:p w:rsidR="007314CE" w:rsidRPr="00E70949" w:rsidRDefault="007314CE" w:rsidP="00C46623">
            <w:pPr>
              <w:spacing w:after="0"/>
              <w:ind w:firstLine="0"/>
              <w:jc w:val="both"/>
              <w:rPr>
                <w:sz w:val="20"/>
                <w:szCs w:val="20"/>
              </w:rPr>
            </w:pPr>
            <w:r w:rsidRPr="00E70949">
              <w:rPr>
                <w:sz w:val="20"/>
                <w:szCs w:val="20"/>
              </w:rPr>
              <w:t>- wyniku finansowego ustalonego na operacjach dokonywanych pomiędzy jednostkami ujmowanymi w sprawozdaniu finansowym jednostki samorządu terytorialnego</w:t>
            </w:r>
          </w:p>
          <w:p w:rsidR="007314CE" w:rsidRPr="00E70949" w:rsidRDefault="007314CE" w:rsidP="00C46623">
            <w:pPr>
              <w:spacing w:after="0"/>
              <w:ind w:firstLine="0"/>
              <w:jc w:val="both"/>
              <w:rPr>
                <w:sz w:val="20"/>
                <w:szCs w:val="20"/>
              </w:rPr>
            </w:pPr>
            <w:r w:rsidRPr="00E70949">
              <w:rPr>
                <w:sz w:val="20"/>
                <w:szCs w:val="20"/>
              </w:rPr>
              <w:t>Zapisy na koncie dokonuje się na dzień bilansowy.</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Ewidencja szczegółowa winna zapewnić możliwość ustalenia wzajemnych należności i zobowiązań, innych rozrachunków oraz wyniku finansowego ustalonego na operacjach dokonywanych pomiędzy jednostkami, których sprawozdania wchodzą w skład łącznych sprawozdań finansowych</w:t>
            </w:r>
          </w:p>
        </w:tc>
      </w:tr>
    </w:tbl>
    <w:p w:rsidR="007314CE" w:rsidRPr="00916C19" w:rsidRDefault="007314CE" w:rsidP="007314CE">
      <w:pPr>
        <w:tabs>
          <w:tab w:val="left" w:pos="1200"/>
        </w:tabs>
        <w:jc w:val="center"/>
        <w:rPr>
          <w:b/>
          <w:color w:val="FF0000"/>
        </w:rPr>
      </w:pPr>
    </w:p>
    <w:tbl>
      <w:tblPr>
        <w:tblpPr w:leftFromText="141" w:rightFromText="141" w:vertAnchor="text" w:horzAnchor="page" w:tblpX="1751" w:tblpY="6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2079"/>
        <w:gridCol w:w="3600"/>
        <w:gridCol w:w="2520"/>
      </w:tblGrid>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spacing w:after="0"/>
              <w:ind w:firstLine="0"/>
              <w:jc w:val="both"/>
              <w:rPr>
                <w:sz w:val="20"/>
                <w:szCs w:val="20"/>
              </w:rPr>
            </w:pPr>
            <w:r w:rsidRPr="00E70949">
              <w:rPr>
                <w:sz w:val="20"/>
                <w:szCs w:val="20"/>
              </w:rPr>
              <w:t>Ewidencję przychodów i kosztów ujmuje się :</w:t>
            </w:r>
          </w:p>
          <w:p w:rsidR="007314CE" w:rsidRPr="00E70949" w:rsidRDefault="007314CE" w:rsidP="00C46623">
            <w:pPr>
              <w:spacing w:after="0"/>
              <w:ind w:firstLine="0"/>
              <w:jc w:val="both"/>
              <w:rPr>
                <w:sz w:val="20"/>
                <w:szCs w:val="20"/>
              </w:rPr>
            </w:pPr>
            <w:r w:rsidRPr="00E70949">
              <w:rPr>
                <w:sz w:val="20"/>
                <w:szCs w:val="20"/>
              </w:rPr>
              <w:t>-  na stronie Wn konta analitycznego ewidencjonuje się koszty, a na stronie Ma przychody.</w:t>
            </w:r>
          </w:p>
          <w:p w:rsidR="007314CE" w:rsidRPr="00E70949" w:rsidRDefault="007314CE" w:rsidP="00C46623">
            <w:pPr>
              <w:spacing w:after="0"/>
              <w:ind w:firstLine="0"/>
              <w:jc w:val="both"/>
              <w:rPr>
                <w:sz w:val="20"/>
                <w:szCs w:val="20"/>
              </w:rPr>
            </w:pPr>
            <w:r w:rsidRPr="00E70949">
              <w:rPr>
                <w:sz w:val="20"/>
                <w:szCs w:val="20"/>
              </w:rPr>
              <w:t>Ewidencję w zakresie  należności i zobowiązań od jednostek organizacyjnych ujmuje się;</w:t>
            </w:r>
          </w:p>
          <w:p w:rsidR="007314CE" w:rsidRPr="00E70949" w:rsidRDefault="007314CE" w:rsidP="00C46623">
            <w:pPr>
              <w:spacing w:after="0"/>
              <w:ind w:firstLine="0"/>
              <w:jc w:val="both"/>
              <w:rPr>
                <w:sz w:val="20"/>
                <w:szCs w:val="20"/>
              </w:rPr>
            </w:pPr>
            <w:r w:rsidRPr="00E70949">
              <w:rPr>
                <w:sz w:val="20"/>
                <w:szCs w:val="20"/>
              </w:rPr>
              <w:t xml:space="preserve">- na stronie Wn konta analitycznego ujmuje się należności, a na stronie Ma zobowiązania. </w:t>
            </w:r>
          </w:p>
          <w:p w:rsidR="007314CE" w:rsidRPr="00E70949" w:rsidRDefault="007314CE" w:rsidP="00C46623">
            <w:pPr>
              <w:ind w:firstLine="0"/>
              <w:jc w:val="both"/>
              <w:rPr>
                <w:sz w:val="20"/>
                <w:szCs w:val="20"/>
              </w:rPr>
            </w:pPr>
            <w:r w:rsidRPr="00E70949">
              <w:rPr>
                <w:sz w:val="20"/>
                <w:szCs w:val="20"/>
              </w:rPr>
              <w:t>Salda konta analitycznego podlegają przeksięgowaniu na druga stronę konta w następnym roku, na podstawie łącznego sprawozdania finansowego za rok ubiegły, z datą zatwierdzenia sprawozdania z zapisem jednostronnym</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p>
        </w:tc>
      </w:tr>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980</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Plan finansowy wydatków budżetowych</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Służy do ewidencji planu finansowego wydatków budżetowych dysponenta środków budżetowych</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Ewidencja w szczegółowości planu finansowego wydatków budżetowych tj. wg podziałek klasyfikacji budżetowej</w:t>
            </w:r>
          </w:p>
        </w:tc>
      </w:tr>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981</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Plan  finansowy niewygasających  wydatków</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Służy do ewidencji planu finansowego niewygasających wydatków budżetowych dysponenta środków budżetowych</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Ewidencja szczegółowa prowadzona jest w szczegółowości planu finansowego niewygasających wydatków budżetowych</w:t>
            </w:r>
          </w:p>
        </w:tc>
      </w:tr>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t>997</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rPr>
                <w:sz w:val="20"/>
                <w:szCs w:val="20"/>
              </w:rPr>
            </w:pPr>
            <w:r w:rsidRPr="00E70949">
              <w:rPr>
                <w:sz w:val="20"/>
                <w:szCs w:val="20"/>
              </w:rPr>
              <w:t>Wkład własny niepieniężny</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spacing w:after="0"/>
              <w:ind w:firstLine="0"/>
              <w:jc w:val="both"/>
              <w:rPr>
                <w:sz w:val="20"/>
                <w:szCs w:val="20"/>
              </w:rPr>
            </w:pPr>
            <w:r w:rsidRPr="00E70949">
              <w:rPr>
                <w:sz w:val="20"/>
                <w:szCs w:val="20"/>
              </w:rPr>
              <w:t>Konto 997 służy do ewidencji wkładu własnego niepieniężnego poniesionego przez jednostkę przy realizacji projektu.</w:t>
            </w:r>
          </w:p>
          <w:p w:rsidR="007314CE" w:rsidRPr="00E70949" w:rsidRDefault="007314CE" w:rsidP="00C46623">
            <w:pPr>
              <w:spacing w:after="0"/>
              <w:ind w:firstLine="0"/>
              <w:jc w:val="both"/>
              <w:rPr>
                <w:sz w:val="20"/>
                <w:szCs w:val="20"/>
              </w:rPr>
            </w:pPr>
            <w:r w:rsidRPr="00E70949">
              <w:rPr>
                <w:sz w:val="20"/>
                <w:szCs w:val="20"/>
              </w:rPr>
              <w:t xml:space="preserve">Na stronie Wn konta 997 ujmuje się wartość  wkładu własnego niepieniężnego  </w:t>
            </w:r>
            <w:r w:rsidRPr="00E70949">
              <w:rPr>
                <w:sz w:val="20"/>
                <w:szCs w:val="20"/>
              </w:rPr>
              <w:br/>
              <w:t xml:space="preserve">w wysokości określonej w umowie </w:t>
            </w:r>
            <w:r w:rsidRPr="00E70949">
              <w:rPr>
                <w:sz w:val="20"/>
                <w:szCs w:val="20"/>
              </w:rPr>
              <w:br/>
              <w:t xml:space="preserve"> o dofinansowanie projektu.</w:t>
            </w:r>
          </w:p>
          <w:p w:rsidR="007314CE" w:rsidRPr="00E70949" w:rsidRDefault="007314CE" w:rsidP="00C46623">
            <w:pPr>
              <w:spacing w:after="0"/>
              <w:ind w:firstLine="0"/>
              <w:jc w:val="both"/>
              <w:rPr>
                <w:sz w:val="20"/>
                <w:szCs w:val="20"/>
              </w:rPr>
            </w:pPr>
            <w:r w:rsidRPr="00E70949">
              <w:rPr>
                <w:sz w:val="20"/>
                <w:szCs w:val="20"/>
              </w:rPr>
              <w:t>Na stronie Ma konta 997 ujmuje się równowartość poniesionego w danym roku budżetowym wkładu własnego niepieniężnego.</w:t>
            </w:r>
          </w:p>
          <w:p w:rsidR="007314CE" w:rsidRPr="00E70949" w:rsidRDefault="007314CE" w:rsidP="00C46623">
            <w:pPr>
              <w:spacing w:after="0"/>
              <w:ind w:firstLine="0"/>
              <w:jc w:val="both"/>
              <w:rPr>
                <w:sz w:val="20"/>
                <w:szCs w:val="20"/>
              </w:rPr>
            </w:pPr>
            <w:r w:rsidRPr="00E70949">
              <w:rPr>
                <w:sz w:val="20"/>
                <w:szCs w:val="20"/>
              </w:rPr>
              <w:t>Na koniec roku konto 997 może wykazywać saldo Wn, które oznacza wartość wkładu własnego niepieniężnego do realizacji w latach następnych</w:t>
            </w:r>
          </w:p>
          <w:p w:rsidR="007314CE" w:rsidRPr="00E70949" w:rsidRDefault="007314CE" w:rsidP="00C46623">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p>
        </w:tc>
      </w:tr>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br w:type="page"/>
            </w:r>
            <w:r w:rsidRPr="00E70949">
              <w:rPr>
                <w:b/>
                <w:sz w:val="28"/>
                <w:szCs w:val="28"/>
              </w:rPr>
              <w:t>998</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rPr>
                <w:sz w:val="20"/>
                <w:szCs w:val="20"/>
              </w:rPr>
            </w:pPr>
            <w:r w:rsidRPr="00E70949">
              <w:rPr>
                <w:sz w:val="20"/>
                <w:szCs w:val="20"/>
              </w:rPr>
              <w:t xml:space="preserve">Zaangażowanie wydatków budżetowych roku </w:t>
            </w:r>
            <w:r w:rsidRPr="00E70949">
              <w:rPr>
                <w:sz w:val="20"/>
                <w:szCs w:val="20"/>
              </w:rPr>
              <w:lastRenderedPageBreak/>
              <w:t>bieżącego</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lastRenderedPageBreak/>
              <w:t xml:space="preserve">Ewidencja prawnego zaangażowania wydatków budżetowych ujętych w planie finansowym jednostki budżetowej danego roku budżetowego oraz w planie </w:t>
            </w:r>
            <w:r w:rsidRPr="00E70949">
              <w:rPr>
                <w:sz w:val="20"/>
                <w:szCs w:val="20"/>
              </w:rPr>
              <w:lastRenderedPageBreak/>
              <w:t xml:space="preserve">finansowym niewygasających wydatków budżetowych ujętych do realizacji w danym roku budżetowym </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lastRenderedPageBreak/>
              <w:t xml:space="preserve">Ewidencja wg podziałek klasyfikacyjnych planu finansowego, z wyodrębnieniem planu </w:t>
            </w:r>
            <w:r w:rsidRPr="00E70949">
              <w:rPr>
                <w:sz w:val="20"/>
                <w:szCs w:val="20"/>
              </w:rPr>
              <w:lastRenderedPageBreak/>
              <w:t>niewygasających wydatków</w:t>
            </w:r>
          </w:p>
        </w:tc>
      </w:tr>
      <w:tr w:rsidR="007314CE" w:rsidRPr="00916C19" w:rsidTr="00C46623">
        <w:trPr>
          <w:trHeight w:val="364"/>
        </w:trPr>
        <w:tc>
          <w:tcPr>
            <w:tcW w:w="1161"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center"/>
              <w:rPr>
                <w:b/>
                <w:sz w:val="28"/>
                <w:szCs w:val="28"/>
              </w:rPr>
            </w:pPr>
            <w:r w:rsidRPr="00E70949">
              <w:rPr>
                <w:b/>
                <w:sz w:val="28"/>
                <w:szCs w:val="28"/>
              </w:rPr>
              <w:lastRenderedPageBreak/>
              <w:t>999</w:t>
            </w:r>
          </w:p>
        </w:tc>
        <w:tc>
          <w:tcPr>
            <w:tcW w:w="2079"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Zaangażowanie wydatków budżetowych przyszłych lat</w:t>
            </w:r>
          </w:p>
        </w:tc>
        <w:tc>
          <w:tcPr>
            <w:tcW w:w="360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Ewidencja prawnego zaangażowania wydatków budżetowych przyszłych lat oraz niewygasających wydatków, które mają być zrealizowane w latach następnych</w:t>
            </w:r>
          </w:p>
        </w:tc>
        <w:tc>
          <w:tcPr>
            <w:tcW w:w="2520" w:type="dxa"/>
            <w:tcBorders>
              <w:top w:val="single" w:sz="4" w:space="0" w:color="auto"/>
              <w:left w:val="single" w:sz="4" w:space="0" w:color="auto"/>
              <w:bottom w:val="single" w:sz="4" w:space="0" w:color="auto"/>
              <w:right w:val="single" w:sz="4" w:space="0" w:color="auto"/>
            </w:tcBorders>
          </w:tcPr>
          <w:p w:rsidR="007314CE" w:rsidRPr="00E70949" w:rsidRDefault="007314CE" w:rsidP="00C46623">
            <w:pPr>
              <w:ind w:firstLine="0"/>
              <w:jc w:val="both"/>
              <w:rPr>
                <w:sz w:val="20"/>
                <w:szCs w:val="20"/>
              </w:rPr>
            </w:pPr>
            <w:r w:rsidRPr="00E70949">
              <w:rPr>
                <w:sz w:val="20"/>
                <w:szCs w:val="20"/>
              </w:rPr>
              <w:t>Ewidencja wg podziałek klasyfikacyjnych planu finansowego, z wyodrębnieniem planu niewygasających wydatków</w:t>
            </w:r>
          </w:p>
        </w:tc>
      </w:tr>
    </w:tbl>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7314CE" w:rsidRPr="00916C19" w:rsidRDefault="007314CE" w:rsidP="007314CE">
      <w:pPr>
        <w:rPr>
          <w:b/>
          <w:color w:val="FF0000"/>
        </w:rPr>
      </w:pPr>
    </w:p>
    <w:p w:rsidR="005C6506" w:rsidRPr="00AA5074" w:rsidRDefault="005C6506" w:rsidP="005C6506">
      <w:pPr>
        <w:spacing w:after="0" w:line="240" w:lineRule="auto"/>
        <w:jc w:val="both"/>
        <w:rPr>
          <w:rFonts w:cs="Times New Roman"/>
          <w:color w:val="FF0000"/>
          <w:sz w:val="24"/>
          <w:szCs w:val="24"/>
        </w:rPr>
      </w:pPr>
    </w:p>
    <w:p w:rsidR="005C6506" w:rsidRPr="00AA5074" w:rsidRDefault="005C6506" w:rsidP="005C6506">
      <w:pPr>
        <w:pStyle w:val="Akapitzlist"/>
        <w:ind w:left="417" w:firstLine="0"/>
        <w:jc w:val="both"/>
        <w:rPr>
          <w:rFonts w:cs="Times New Roman"/>
          <w:color w:val="FF0000"/>
          <w:sz w:val="24"/>
          <w:szCs w:val="24"/>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264A20" w:rsidRPr="00F80A07" w:rsidRDefault="00264A20" w:rsidP="00264A20">
      <w:pPr>
        <w:rPr>
          <w:b/>
          <w:color w:val="FF0000"/>
        </w:rPr>
      </w:pPr>
    </w:p>
    <w:p w:rsidR="00096E0E" w:rsidRPr="00F80A07" w:rsidRDefault="00096E0E" w:rsidP="00264A20">
      <w:pPr>
        <w:rPr>
          <w:b/>
          <w:color w:val="FF0000"/>
        </w:rPr>
      </w:pPr>
    </w:p>
    <w:p w:rsidR="00B81D17" w:rsidRDefault="00B81D17" w:rsidP="00B81D17">
      <w:pPr>
        <w:spacing w:after="0" w:line="240" w:lineRule="auto"/>
        <w:ind w:firstLine="0"/>
        <w:jc w:val="center"/>
      </w:pPr>
      <w:r w:rsidRPr="00B81D17">
        <w:lastRenderedPageBreak/>
        <w:t>Uzasadnienie</w:t>
      </w:r>
    </w:p>
    <w:p w:rsidR="00096E0E" w:rsidRPr="00B81D17" w:rsidRDefault="00B81D17" w:rsidP="00B81D17">
      <w:pPr>
        <w:spacing w:after="0" w:line="240" w:lineRule="auto"/>
        <w:ind w:firstLine="0"/>
        <w:jc w:val="center"/>
      </w:pPr>
      <w:r w:rsidRPr="00B81D17">
        <w:t xml:space="preserve"> do</w:t>
      </w:r>
    </w:p>
    <w:p w:rsidR="00B81D17" w:rsidRPr="00B81D17" w:rsidRDefault="00B81D17" w:rsidP="00B81D17">
      <w:pPr>
        <w:pStyle w:val="zalbold-centr"/>
        <w:spacing w:after="0" w:line="240" w:lineRule="auto"/>
        <w:rPr>
          <w:rFonts w:asciiTheme="minorHAnsi" w:hAnsiTheme="minorHAnsi" w:cs="Times New Roman"/>
          <w:b w:val="0"/>
          <w:color w:val="auto"/>
          <w:sz w:val="24"/>
          <w:szCs w:val="24"/>
        </w:rPr>
      </w:pPr>
      <w:r w:rsidRPr="00B81D17">
        <w:rPr>
          <w:rFonts w:asciiTheme="minorHAnsi" w:hAnsiTheme="minorHAnsi" w:cs="Times New Roman"/>
          <w:b w:val="0"/>
          <w:color w:val="auto"/>
          <w:sz w:val="24"/>
          <w:szCs w:val="24"/>
        </w:rPr>
        <w:t>Zarządzenia nr 98/2024</w:t>
      </w:r>
    </w:p>
    <w:p w:rsidR="00B81D17" w:rsidRPr="00B81D17" w:rsidRDefault="00B81D17" w:rsidP="00B81D17">
      <w:pPr>
        <w:pStyle w:val="zalbold-centr"/>
        <w:spacing w:after="0" w:line="240" w:lineRule="auto"/>
        <w:rPr>
          <w:rFonts w:asciiTheme="minorHAnsi" w:hAnsiTheme="minorHAnsi" w:cs="Times New Roman"/>
          <w:b w:val="0"/>
          <w:color w:val="auto"/>
          <w:sz w:val="24"/>
          <w:szCs w:val="24"/>
        </w:rPr>
      </w:pPr>
      <w:r w:rsidRPr="00B81D17">
        <w:rPr>
          <w:rFonts w:asciiTheme="minorHAnsi" w:hAnsiTheme="minorHAnsi" w:cs="Times New Roman"/>
          <w:b w:val="0"/>
          <w:color w:val="auto"/>
          <w:sz w:val="24"/>
          <w:szCs w:val="24"/>
        </w:rPr>
        <w:t>Starosty Jarocińskiego</w:t>
      </w:r>
    </w:p>
    <w:p w:rsidR="00B81D17" w:rsidRPr="00B81D17" w:rsidRDefault="00B81D17" w:rsidP="00B81D17">
      <w:pPr>
        <w:pStyle w:val="zalbold-centr"/>
        <w:spacing w:after="0" w:line="240" w:lineRule="auto"/>
        <w:rPr>
          <w:rFonts w:asciiTheme="minorHAnsi" w:hAnsiTheme="minorHAnsi" w:cs="Times New Roman"/>
          <w:b w:val="0"/>
          <w:i/>
          <w:color w:val="auto"/>
          <w:sz w:val="24"/>
          <w:szCs w:val="24"/>
        </w:rPr>
      </w:pPr>
      <w:r w:rsidRPr="00B81D17">
        <w:rPr>
          <w:rFonts w:asciiTheme="minorHAnsi" w:hAnsiTheme="minorHAnsi" w:cs="Times New Roman"/>
          <w:b w:val="0"/>
          <w:color w:val="auto"/>
          <w:sz w:val="24"/>
          <w:szCs w:val="24"/>
        </w:rPr>
        <w:t>z dnia 31 grudnia 2024r.</w:t>
      </w:r>
    </w:p>
    <w:p w:rsidR="00B81D17" w:rsidRPr="00B81D17" w:rsidRDefault="00B81D17" w:rsidP="00B81D17">
      <w:pPr>
        <w:pStyle w:val="zalbold-centr"/>
        <w:spacing w:after="0" w:line="240" w:lineRule="auto"/>
        <w:rPr>
          <w:rFonts w:asciiTheme="minorHAnsi" w:hAnsiTheme="minorHAnsi" w:cs="Times New Roman"/>
          <w:b w:val="0"/>
          <w:color w:val="auto"/>
          <w:sz w:val="24"/>
          <w:szCs w:val="24"/>
        </w:rPr>
      </w:pPr>
      <w:r w:rsidRPr="00B81D17">
        <w:rPr>
          <w:rFonts w:asciiTheme="minorHAnsi" w:hAnsiTheme="minorHAnsi" w:cs="Times New Roman"/>
          <w:b w:val="0"/>
          <w:color w:val="auto"/>
          <w:sz w:val="24"/>
          <w:szCs w:val="24"/>
        </w:rPr>
        <w:t>zmieniające</w:t>
      </w:r>
      <w:r>
        <w:rPr>
          <w:rFonts w:asciiTheme="minorHAnsi" w:hAnsiTheme="minorHAnsi" w:cs="Times New Roman"/>
          <w:b w:val="0"/>
          <w:color w:val="auto"/>
          <w:sz w:val="24"/>
          <w:szCs w:val="24"/>
        </w:rPr>
        <w:t>go</w:t>
      </w:r>
      <w:r w:rsidRPr="00B81D17">
        <w:rPr>
          <w:rFonts w:asciiTheme="minorHAnsi" w:hAnsiTheme="minorHAnsi" w:cs="Times New Roman"/>
          <w:b w:val="0"/>
          <w:color w:val="auto"/>
          <w:sz w:val="24"/>
          <w:szCs w:val="24"/>
        </w:rPr>
        <w:t xml:space="preserve"> zarządzenie w sprawie wprowadzenia instrukcji zasad (polityki) rachunkowości</w:t>
      </w:r>
    </w:p>
    <w:p w:rsidR="00B81D17" w:rsidRPr="00B81D17" w:rsidRDefault="00B81D17" w:rsidP="00B81D17">
      <w:pPr>
        <w:spacing w:after="0"/>
        <w:jc w:val="center"/>
      </w:pPr>
    </w:p>
    <w:p w:rsidR="00096E0E" w:rsidRDefault="00096E0E" w:rsidP="000900FC">
      <w:pPr>
        <w:jc w:val="both"/>
        <w:rPr>
          <w:b/>
          <w:color w:val="FF0000"/>
        </w:rPr>
      </w:pPr>
    </w:p>
    <w:p w:rsidR="00B81D17" w:rsidRDefault="00FF4784" w:rsidP="000900FC">
      <w:pPr>
        <w:spacing w:after="0"/>
        <w:jc w:val="both"/>
        <w:rPr>
          <w:rFonts w:cs="Times New Roman"/>
          <w:sz w:val="24"/>
          <w:szCs w:val="24"/>
        </w:rPr>
      </w:pPr>
      <w:r w:rsidRPr="00FF4784">
        <w:t xml:space="preserve">Zgodnie z </w:t>
      </w:r>
      <w:r w:rsidRPr="00FF4784">
        <w:rPr>
          <w:rFonts w:cs="Times New Roman"/>
          <w:sz w:val="24"/>
          <w:szCs w:val="24"/>
        </w:rPr>
        <w:t>art</w:t>
      </w:r>
      <w:r w:rsidRPr="00D36724">
        <w:rPr>
          <w:rFonts w:cs="Times New Roman"/>
          <w:sz w:val="24"/>
          <w:szCs w:val="24"/>
        </w:rPr>
        <w:t>. 10 ust. 2 ustawy z dnia 29 września 1994 r. o </w:t>
      </w:r>
      <w:r w:rsidRPr="00405D3C">
        <w:rPr>
          <w:rFonts w:cs="Times New Roman"/>
          <w:sz w:val="24"/>
          <w:szCs w:val="24"/>
        </w:rPr>
        <w:t>rachunkowości (t. j</w:t>
      </w:r>
      <w:r w:rsidRPr="00055A75">
        <w:rPr>
          <w:rFonts w:cs="Times New Roman"/>
          <w:sz w:val="24"/>
          <w:szCs w:val="24"/>
        </w:rPr>
        <w:t xml:space="preserve">. </w:t>
      </w:r>
      <w:r>
        <w:rPr>
          <w:rFonts w:cs="Times New Roman"/>
          <w:sz w:val="24"/>
          <w:szCs w:val="24"/>
        </w:rPr>
        <w:t>Dz. U. z 2023</w:t>
      </w:r>
      <w:r w:rsidRPr="00055A75">
        <w:rPr>
          <w:rFonts w:cs="Times New Roman"/>
          <w:sz w:val="24"/>
          <w:szCs w:val="24"/>
        </w:rPr>
        <w:t xml:space="preserve"> r. poz. </w:t>
      </w:r>
      <w:r>
        <w:rPr>
          <w:rFonts w:cs="Times New Roman"/>
          <w:sz w:val="24"/>
          <w:szCs w:val="24"/>
        </w:rPr>
        <w:t>120</w:t>
      </w:r>
      <w:r w:rsidRPr="00055A75">
        <w:rPr>
          <w:rFonts w:cs="Times New Roman"/>
          <w:sz w:val="24"/>
          <w:szCs w:val="24"/>
        </w:rPr>
        <w:t xml:space="preserve"> </w:t>
      </w:r>
      <w:r w:rsidRPr="00405D3C">
        <w:rPr>
          <w:rFonts w:cs="Times New Roman"/>
          <w:sz w:val="24"/>
          <w:szCs w:val="24"/>
        </w:rPr>
        <w:t>z późn. zm.)</w:t>
      </w:r>
      <w:r>
        <w:rPr>
          <w:rFonts w:cs="Times New Roman"/>
          <w:sz w:val="24"/>
          <w:szCs w:val="24"/>
        </w:rPr>
        <w:t xml:space="preserve"> Kierownik jednostki ustala w formie pisemnej i aktualizuję dokumentację, o której mowa w ust. 1 tj. zasady polityki rachunkowości.</w:t>
      </w:r>
    </w:p>
    <w:p w:rsidR="00FF4784" w:rsidRPr="00F80A07" w:rsidRDefault="00FF4784" w:rsidP="000900FC">
      <w:pPr>
        <w:spacing w:after="0"/>
        <w:jc w:val="both"/>
        <w:rPr>
          <w:b/>
          <w:color w:val="FF0000"/>
        </w:rPr>
      </w:pPr>
      <w:r>
        <w:rPr>
          <w:rFonts w:cs="Times New Roman"/>
          <w:sz w:val="24"/>
          <w:szCs w:val="24"/>
        </w:rPr>
        <w:t>Mając na uwadze powyższe  w niniejszym zarządzeniu doprecyzowano opis przy</w:t>
      </w:r>
      <w:r w:rsidR="000900FC">
        <w:rPr>
          <w:rFonts w:cs="Times New Roman"/>
          <w:sz w:val="24"/>
          <w:szCs w:val="24"/>
        </w:rPr>
        <w:t>jętych zasad klasyfikacji zdarzeń na koncie 139 – Inne rachunki bankowe w księgach rachunkowych Starostwa Powiatowego.</w:t>
      </w:r>
    </w:p>
    <w:sectPr w:rsidR="00FF4784" w:rsidRPr="00F80A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D7" w:rsidRDefault="005607D7" w:rsidP="009D3E6D">
      <w:pPr>
        <w:spacing w:after="0" w:line="240" w:lineRule="auto"/>
      </w:pPr>
      <w:r>
        <w:separator/>
      </w:r>
    </w:p>
  </w:endnote>
  <w:endnote w:type="continuationSeparator" w:id="0">
    <w:p w:rsidR="005607D7" w:rsidRDefault="005607D7" w:rsidP="009D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D7" w:rsidRDefault="005607D7" w:rsidP="009D3E6D">
      <w:pPr>
        <w:spacing w:after="0" w:line="240" w:lineRule="auto"/>
      </w:pPr>
      <w:r>
        <w:separator/>
      </w:r>
    </w:p>
  </w:footnote>
  <w:footnote w:type="continuationSeparator" w:id="0">
    <w:p w:rsidR="005607D7" w:rsidRDefault="005607D7" w:rsidP="009D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F20"/>
    <w:multiLevelType w:val="hybridMultilevel"/>
    <w:tmpl w:val="9FBEC58E"/>
    <w:lvl w:ilvl="0" w:tplc="7CECD44C">
      <w:start w:val="1"/>
      <w:numFmt w:val="bullet"/>
      <w:lvlText w:val=""/>
      <w:lvlJc w:val="left"/>
      <w:pPr>
        <w:ind w:left="1004" w:hanging="360"/>
      </w:pPr>
      <w:rPr>
        <w:rFonts w:ascii="Symbol" w:hAnsi="Symbol" w:hint="default"/>
        <w:u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C793B8D"/>
    <w:multiLevelType w:val="hybridMultilevel"/>
    <w:tmpl w:val="83F61CBE"/>
    <w:lvl w:ilvl="0" w:tplc="2864FAB0">
      <w:start w:val="1"/>
      <w:numFmt w:val="decimal"/>
      <w:lvlText w:val="%1)"/>
      <w:lvlJc w:val="left"/>
      <w:pPr>
        <w:tabs>
          <w:tab w:val="num" w:pos="644"/>
        </w:tabs>
        <w:ind w:left="644" w:hanging="360"/>
      </w:pPr>
      <w:rPr>
        <w:rFonts w:hint="default"/>
        <w:strike w:val="0"/>
        <w:dstrike w:val="0"/>
        <w:color w:val="auto"/>
      </w:rPr>
    </w:lvl>
    <w:lvl w:ilvl="1" w:tplc="E8A0FBA4">
      <w:start w:val="1"/>
      <w:numFmt w:val="decimal"/>
      <w:lvlText w:val="%2)"/>
      <w:lvlJc w:val="left"/>
      <w:pPr>
        <w:tabs>
          <w:tab w:val="num" w:pos="644"/>
        </w:tabs>
        <w:ind w:left="644" w:hanging="360"/>
      </w:pPr>
      <w:rPr>
        <w:rFonts w:hint="default"/>
        <w:b w:val="0"/>
      </w:rPr>
    </w:lvl>
    <w:lvl w:ilvl="2" w:tplc="E32C980E">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AB0D89"/>
    <w:multiLevelType w:val="hybridMultilevel"/>
    <w:tmpl w:val="E5627B7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14121D26"/>
    <w:multiLevelType w:val="hybridMultilevel"/>
    <w:tmpl w:val="F38CD04E"/>
    <w:lvl w:ilvl="0" w:tplc="630E7C54">
      <w:start w:val="12"/>
      <w:numFmt w:val="decimal"/>
      <w:lvlText w:val="%1."/>
      <w:lvlJc w:val="left"/>
      <w:pPr>
        <w:tabs>
          <w:tab w:val="num" w:pos="927"/>
        </w:tabs>
        <w:ind w:left="927" w:hanging="360"/>
      </w:pPr>
      <w:rPr>
        <w:rFonts w:hint="default"/>
        <w:strike w:val="0"/>
        <w:dstrike w:val="0"/>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 w15:restartNumberingAfterBreak="0">
    <w:nsid w:val="1ADB7698"/>
    <w:multiLevelType w:val="hybridMultilevel"/>
    <w:tmpl w:val="F0C8BCDA"/>
    <w:lvl w:ilvl="0" w:tplc="2864FAB0">
      <w:start w:val="1"/>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613418"/>
    <w:multiLevelType w:val="hybridMultilevel"/>
    <w:tmpl w:val="64DCD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0593B"/>
    <w:multiLevelType w:val="hybridMultilevel"/>
    <w:tmpl w:val="20968A38"/>
    <w:lvl w:ilvl="0" w:tplc="04150011">
      <w:start w:val="1"/>
      <w:numFmt w:val="decimal"/>
      <w:lvlText w:val="%1)"/>
      <w:lvlJc w:val="left"/>
      <w:pPr>
        <w:tabs>
          <w:tab w:val="num" w:pos="720"/>
        </w:tabs>
        <w:ind w:left="720" w:hanging="360"/>
      </w:pPr>
    </w:lvl>
    <w:lvl w:ilvl="1" w:tplc="7CECD44C">
      <w:start w:val="1"/>
      <w:numFmt w:val="bullet"/>
      <w:lvlText w:val=""/>
      <w:lvlJc w:val="left"/>
      <w:pPr>
        <w:tabs>
          <w:tab w:val="num" w:pos="1440"/>
        </w:tabs>
        <w:ind w:left="1440" w:hanging="360"/>
      </w:pPr>
      <w:rPr>
        <w:rFonts w:ascii="Symbol" w:hAnsi="Symbol" w:hint="default"/>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0CD0A8E"/>
    <w:multiLevelType w:val="hybridMultilevel"/>
    <w:tmpl w:val="5B6491C2"/>
    <w:lvl w:ilvl="0" w:tplc="8D14D2DE">
      <w:start w:val="9"/>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400228"/>
    <w:multiLevelType w:val="hybridMultilevel"/>
    <w:tmpl w:val="E2FED41C"/>
    <w:lvl w:ilvl="0" w:tplc="741838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F4085B"/>
    <w:multiLevelType w:val="hybridMultilevel"/>
    <w:tmpl w:val="8E361954"/>
    <w:lvl w:ilvl="0" w:tplc="D47048F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 w15:restartNumberingAfterBreak="0">
    <w:nsid w:val="2BDC58E7"/>
    <w:multiLevelType w:val="hybridMultilevel"/>
    <w:tmpl w:val="A27CF31E"/>
    <w:lvl w:ilvl="0" w:tplc="7CECD44C">
      <w:start w:val="1"/>
      <w:numFmt w:val="bullet"/>
      <w:lvlText w:val=""/>
      <w:lvlJc w:val="left"/>
      <w:pPr>
        <w:tabs>
          <w:tab w:val="num" w:pos="-691"/>
        </w:tabs>
        <w:ind w:left="-691" w:hanging="360"/>
      </w:pPr>
      <w:rPr>
        <w:rFonts w:ascii="Symbol" w:hAnsi="Symbol" w:hint="default"/>
        <w:u w:val="none"/>
      </w:rPr>
    </w:lvl>
    <w:lvl w:ilvl="1" w:tplc="04150019" w:tentative="1">
      <w:start w:val="1"/>
      <w:numFmt w:val="lowerLetter"/>
      <w:lvlText w:val="%2."/>
      <w:lvlJc w:val="left"/>
      <w:pPr>
        <w:tabs>
          <w:tab w:val="num" w:pos="29"/>
        </w:tabs>
        <w:ind w:left="29" w:hanging="360"/>
      </w:pPr>
    </w:lvl>
    <w:lvl w:ilvl="2" w:tplc="0415001B" w:tentative="1">
      <w:start w:val="1"/>
      <w:numFmt w:val="lowerRoman"/>
      <w:lvlText w:val="%3."/>
      <w:lvlJc w:val="right"/>
      <w:pPr>
        <w:tabs>
          <w:tab w:val="num" w:pos="749"/>
        </w:tabs>
        <w:ind w:left="749" w:hanging="180"/>
      </w:pPr>
    </w:lvl>
    <w:lvl w:ilvl="3" w:tplc="0415000F" w:tentative="1">
      <w:start w:val="1"/>
      <w:numFmt w:val="decimal"/>
      <w:lvlText w:val="%4."/>
      <w:lvlJc w:val="left"/>
      <w:pPr>
        <w:tabs>
          <w:tab w:val="num" w:pos="1469"/>
        </w:tabs>
        <w:ind w:left="1469" w:hanging="360"/>
      </w:pPr>
    </w:lvl>
    <w:lvl w:ilvl="4" w:tplc="04150019" w:tentative="1">
      <w:start w:val="1"/>
      <w:numFmt w:val="lowerLetter"/>
      <w:lvlText w:val="%5."/>
      <w:lvlJc w:val="left"/>
      <w:pPr>
        <w:tabs>
          <w:tab w:val="num" w:pos="2189"/>
        </w:tabs>
        <w:ind w:left="2189" w:hanging="360"/>
      </w:pPr>
    </w:lvl>
    <w:lvl w:ilvl="5" w:tplc="0415001B" w:tentative="1">
      <w:start w:val="1"/>
      <w:numFmt w:val="lowerRoman"/>
      <w:lvlText w:val="%6."/>
      <w:lvlJc w:val="right"/>
      <w:pPr>
        <w:tabs>
          <w:tab w:val="num" w:pos="2909"/>
        </w:tabs>
        <w:ind w:left="2909" w:hanging="180"/>
      </w:pPr>
    </w:lvl>
    <w:lvl w:ilvl="6" w:tplc="0415000F" w:tentative="1">
      <w:start w:val="1"/>
      <w:numFmt w:val="decimal"/>
      <w:lvlText w:val="%7."/>
      <w:lvlJc w:val="left"/>
      <w:pPr>
        <w:tabs>
          <w:tab w:val="num" w:pos="3629"/>
        </w:tabs>
        <w:ind w:left="3629" w:hanging="360"/>
      </w:pPr>
    </w:lvl>
    <w:lvl w:ilvl="7" w:tplc="04150019" w:tentative="1">
      <w:start w:val="1"/>
      <w:numFmt w:val="lowerLetter"/>
      <w:lvlText w:val="%8."/>
      <w:lvlJc w:val="left"/>
      <w:pPr>
        <w:tabs>
          <w:tab w:val="num" w:pos="4349"/>
        </w:tabs>
        <w:ind w:left="4349" w:hanging="360"/>
      </w:pPr>
    </w:lvl>
    <w:lvl w:ilvl="8" w:tplc="0415001B" w:tentative="1">
      <w:start w:val="1"/>
      <w:numFmt w:val="lowerRoman"/>
      <w:lvlText w:val="%9."/>
      <w:lvlJc w:val="right"/>
      <w:pPr>
        <w:tabs>
          <w:tab w:val="num" w:pos="5069"/>
        </w:tabs>
        <w:ind w:left="5069" w:hanging="180"/>
      </w:pPr>
    </w:lvl>
  </w:abstractNum>
  <w:abstractNum w:abstractNumId="11" w15:restartNumberingAfterBreak="0">
    <w:nsid w:val="2CF97687"/>
    <w:multiLevelType w:val="hybridMultilevel"/>
    <w:tmpl w:val="B57019C8"/>
    <w:lvl w:ilvl="0" w:tplc="7CECD44C">
      <w:start w:val="1"/>
      <w:numFmt w:val="bullet"/>
      <w:lvlText w:val=""/>
      <w:lvlJc w:val="left"/>
      <w:pPr>
        <w:ind w:left="1568" w:hanging="360"/>
      </w:pPr>
      <w:rPr>
        <w:rFonts w:ascii="Symbol" w:hAnsi="Symbol" w:hint="default"/>
        <w:u w:val="none"/>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2" w15:restartNumberingAfterBreak="0">
    <w:nsid w:val="2EB06125"/>
    <w:multiLevelType w:val="hybridMultilevel"/>
    <w:tmpl w:val="B34E6CA6"/>
    <w:lvl w:ilvl="0" w:tplc="04150011">
      <w:start w:val="1"/>
      <w:numFmt w:val="decimal"/>
      <w:lvlText w:val="%1)"/>
      <w:lvlJc w:val="left"/>
      <w:pPr>
        <w:tabs>
          <w:tab w:val="num" w:pos="720"/>
        </w:tabs>
        <w:ind w:left="720" w:hanging="360"/>
      </w:pPr>
    </w:lvl>
    <w:lvl w:ilvl="1" w:tplc="D10C37C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D726BC"/>
    <w:multiLevelType w:val="hybridMultilevel"/>
    <w:tmpl w:val="DF52E766"/>
    <w:lvl w:ilvl="0" w:tplc="12DE3362">
      <w:start w:val="1"/>
      <w:numFmt w:val="decimal"/>
      <w:lvlText w:val="%1."/>
      <w:lvlJc w:val="left"/>
      <w:pPr>
        <w:tabs>
          <w:tab w:val="num" w:pos="360"/>
        </w:tabs>
        <w:ind w:left="360" w:hanging="360"/>
      </w:pPr>
      <w:rPr>
        <w:rFonts w:hint="default"/>
      </w:rPr>
    </w:lvl>
    <w:lvl w:ilvl="1" w:tplc="E8A0FBA4">
      <w:start w:val="1"/>
      <w:numFmt w:val="decimal"/>
      <w:lvlText w:val="%2)"/>
      <w:lvlJc w:val="left"/>
      <w:pPr>
        <w:tabs>
          <w:tab w:val="num" w:pos="1211"/>
        </w:tabs>
        <w:ind w:left="1211" w:hanging="360"/>
      </w:pPr>
      <w:rPr>
        <w:rFonts w:hint="default"/>
        <w:b w:val="0"/>
      </w:rPr>
    </w:lvl>
    <w:lvl w:ilvl="2" w:tplc="E32C980E">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EE5451"/>
    <w:multiLevelType w:val="hybridMultilevel"/>
    <w:tmpl w:val="E460B436"/>
    <w:lvl w:ilvl="0" w:tplc="423EA21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0B4B00"/>
    <w:multiLevelType w:val="hybridMultilevel"/>
    <w:tmpl w:val="162E3180"/>
    <w:lvl w:ilvl="0" w:tplc="05C6CFA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4D1026C"/>
    <w:multiLevelType w:val="hybridMultilevel"/>
    <w:tmpl w:val="2524419A"/>
    <w:lvl w:ilvl="0" w:tplc="27346A24">
      <w:start w:val="1"/>
      <w:numFmt w:val="decimal"/>
      <w:lvlText w:val="%1."/>
      <w:lvlJc w:val="left"/>
      <w:pPr>
        <w:tabs>
          <w:tab w:val="num" w:pos="360"/>
        </w:tabs>
        <w:ind w:left="360" w:hanging="360"/>
      </w:pPr>
      <w:rPr>
        <w:rFonts w:hint="default"/>
        <w:strike w:val="0"/>
        <w:dstrike w:val="0"/>
        <w:color w:val="auto"/>
      </w:rPr>
    </w:lvl>
    <w:lvl w:ilvl="1" w:tplc="98E2816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85C597A"/>
    <w:multiLevelType w:val="hybridMultilevel"/>
    <w:tmpl w:val="26F610DE"/>
    <w:lvl w:ilvl="0" w:tplc="F7ECAA84">
      <w:start w:val="1"/>
      <w:numFmt w:val="decimal"/>
      <w:lvlText w:val="%1."/>
      <w:lvlJc w:val="left"/>
      <w:pPr>
        <w:ind w:left="1001" w:hanging="360"/>
      </w:pPr>
      <w:rPr>
        <w:rFonts w:hint="default"/>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8" w15:restartNumberingAfterBreak="0">
    <w:nsid w:val="3F40488D"/>
    <w:multiLevelType w:val="hybridMultilevel"/>
    <w:tmpl w:val="71D206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747E9B"/>
    <w:multiLevelType w:val="hybridMultilevel"/>
    <w:tmpl w:val="C2B0957E"/>
    <w:lvl w:ilvl="0" w:tplc="7CECD44C">
      <w:start w:val="1"/>
      <w:numFmt w:val="bullet"/>
      <w:lvlText w:val=""/>
      <w:lvlJc w:val="left"/>
      <w:pPr>
        <w:ind w:left="1004" w:hanging="360"/>
      </w:pPr>
      <w:rPr>
        <w:rFonts w:ascii="Symbol" w:hAnsi="Symbol" w:hint="default"/>
        <w:u w:val="none"/>
      </w:rPr>
    </w:lvl>
    <w:lvl w:ilvl="1" w:tplc="7CECD44C">
      <w:start w:val="1"/>
      <w:numFmt w:val="bullet"/>
      <w:lvlText w:val=""/>
      <w:lvlJc w:val="left"/>
      <w:pPr>
        <w:ind w:left="1724" w:hanging="360"/>
      </w:pPr>
      <w:rPr>
        <w:rFonts w:ascii="Symbol" w:hAnsi="Symbol" w:hint="default"/>
        <w:u w:val="none"/>
      </w:rPr>
    </w:lvl>
    <w:lvl w:ilvl="2" w:tplc="7CECD44C">
      <w:start w:val="1"/>
      <w:numFmt w:val="bullet"/>
      <w:lvlText w:val=""/>
      <w:lvlJc w:val="left"/>
      <w:pPr>
        <w:ind w:left="2444" w:hanging="360"/>
      </w:pPr>
      <w:rPr>
        <w:rFonts w:ascii="Symbol" w:hAnsi="Symbol" w:hint="default"/>
        <w:u w:val="none"/>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4EC5435"/>
    <w:multiLevelType w:val="hybridMultilevel"/>
    <w:tmpl w:val="8F16DF2C"/>
    <w:lvl w:ilvl="0" w:tplc="D47048F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47D914DF"/>
    <w:multiLevelType w:val="hybridMultilevel"/>
    <w:tmpl w:val="DBDAEEEA"/>
    <w:lvl w:ilvl="0" w:tplc="51CE9CF2">
      <w:start w:val="2"/>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8240F"/>
    <w:multiLevelType w:val="hybridMultilevel"/>
    <w:tmpl w:val="F872D0AA"/>
    <w:lvl w:ilvl="0" w:tplc="27486798">
      <w:start w:val="2"/>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6C231D"/>
    <w:multiLevelType w:val="hybridMultilevel"/>
    <w:tmpl w:val="AA6094DE"/>
    <w:lvl w:ilvl="0" w:tplc="227C6134">
      <w:start w:val="7"/>
      <w:numFmt w:val="decimal"/>
      <w:lvlText w:val="%1."/>
      <w:lvlJc w:val="left"/>
      <w:pPr>
        <w:ind w:left="360" w:hanging="360"/>
      </w:pPr>
      <w:rPr>
        <w:rFonts w:hint="default"/>
        <w:strike w:val="0"/>
        <w:d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75532E"/>
    <w:multiLevelType w:val="hybridMultilevel"/>
    <w:tmpl w:val="C4E4E422"/>
    <w:lvl w:ilvl="0" w:tplc="0C88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1661B3"/>
    <w:multiLevelType w:val="hybridMultilevel"/>
    <w:tmpl w:val="465ED06A"/>
    <w:lvl w:ilvl="0" w:tplc="3942094E">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6" w15:restartNumberingAfterBreak="0">
    <w:nsid w:val="4C964CEF"/>
    <w:multiLevelType w:val="hybridMultilevel"/>
    <w:tmpl w:val="6F243434"/>
    <w:lvl w:ilvl="0" w:tplc="2864FAB0">
      <w:start w:val="1"/>
      <w:numFmt w:val="decimal"/>
      <w:lvlText w:val="%1)"/>
      <w:lvlJc w:val="left"/>
      <w:pPr>
        <w:tabs>
          <w:tab w:val="num" w:pos="644"/>
        </w:tabs>
        <w:ind w:left="644" w:hanging="360"/>
      </w:pPr>
      <w:rPr>
        <w:rFonts w:hint="default"/>
        <w:strike w:val="0"/>
        <w:dstrike w:val="0"/>
        <w:color w:val="auto"/>
      </w:rPr>
    </w:lvl>
    <w:lvl w:ilvl="1" w:tplc="E8A0FBA4">
      <w:start w:val="1"/>
      <w:numFmt w:val="decimal"/>
      <w:lvlText w:val="%2)"/>
      <w:lvlJc w:val="left"/>
      <w:pPr>
        <w:tabs>
          <w:tab w:val="num" w:pos="1211"/>
        </w:tabs>
        <w:ind w:left="1211" w:hanging="360"/>
      </w:pPr>
      <w:rPr>
        <w:rFonts w:hint="default"/>
        <w:b w:val="0"/>
      </w:rPr>
    </w:lvl>
    <w:lvl w:ilvl="2" w:tplc="E32C980E">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BE1B85"/>
    <w:multiLevelType w:val="hybridMultilevel"/>
    <w:tmpl w:val="C2A61478"/>
    <w:lvl w:ilvl="0" w:tplc="7CECD44C">
      <w:start w:val="1"/>
      <w:numFmt w:val="bullet"/>
      <w:lvlText w:val=""/>
      <w:lvlJc w:val="left"/>
      <w:pPr>
        <w:tabs>
          <w:tab w:val="num" w:pos="1068"/>
        </w:tabs>
        <w:ind w:left="1068" w:hanging="360"/>
      </w:pPr>
      <w:rPr>
        <w:rFonts w:ascii="Symbol" w:hAnsi="Symbol" w:hint="default"/>
        <w:u w:val="none"/>
      </w:rPr>
    </w:lvl>
    <w:lvl w:ilvl="1" w:tplc="B92EA9EA">
      <w:start w:val="2"/>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58B8436C"/>
    <w:multiLevelType w:val="hybridMultilevel"/>
    <w:tmpl w:val="6FC082DA"/>
    <w:lvl w:ilvl="0" w:tplc="64D0D608">
      <w:start w:val="1"/>
      <w:numFmt w:val="decimal"/>
      <w:lvlText w:val="%1)"/>
      <w:lvlJc w:val="left"/>
      <w:pPr>
        <w:ind w:left="360"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9" w15:restartNumberingAfterBreak="0">
    <w:nsid w:val="59BE143A"/>
    <w:multiLevelType w:val="hybridMultilevel"/>
    <w:tmpl w:val="67CC7AC6"/>
    <w:lvl w:ilvl="0" w:tplc="0415000F">
      <w:start w:val="1"/>
      <w:numFmt w:val="decimal"/>
      <w:lvlText w:val="%1."/>
      <w:lvlJc w:val="left"/>
      <w:pPr>
        <w:tabs>
          <w:tab w:val="num" w:pos="720"/>
        </w:tabs>
        <w:ind w:left="720" w:hanging="360"/>
      </w:pPr>
      <w:rPr>
        <w:rFonts w:hint="default"/>
      </w:rPr>
    </w:lvl>
    <w:lvl w:ilvl="1" w:tplc="6EBA4C0C">
      <w:start w:val="8"/>
      <w:numFmt w:val="decimal"/>
      <w:lvlText w:val="%2."/>
      <w:lvlJc w:val="left"/>
      <w:pPr>
        <w:tabs>
          <w:tab w:val="num" w:pos="1440"/>
        </w:tabs>
        <w:ind w:left="1440" w:hanging="360"/>
      </w:pPr>
      <w:rPr>
        <w:rFonts w:hint="default"/>
        <w:b/>
      </w:rPr>
    </w:lvl>
    <w:lvl w:ilvl="2" w:tplc="112C3EF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4E1273"/>
    <w:multiLevelType w:val="hybridMultilevel"/>
    <w:tmpl w:val="F170F5C0"/>
    <w:lvl w:ilvl="0" w:tplc="F000B80A">
      <w:start w:val="1"/>
      <w:numFmt w:val="decimal"/>
      <w:lvlText w:val="%1)"/>
      <w:lvlJc w:val="left"/>
      <w:pPr>
        <w:ind w:left="417" w:hanging="360"/>
      </w:pPr>
      <w:rPr>
        <w:rFonts w:hint="default"/>
        <w:color w:val="auto"/>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 w15:restartNumberingAfterBreak="0">
    <w:nsid w:val="5D55565C"/>
    <w:multiLevelType w:val="hybridMultilevel"/>
    <w:tmpl w:val="C4684944"/>
    <w:lvl w:ilvl="0" w:tplc="7CECD44C">
      <w:start w:val="1"/>
      <w:numFmt w:val="bullet"/>
      <w:lvlText w:val=""/>
      <w:lvlJc w:val="left"/>
      <w:pPr>
        <w:ind w:left="1001" w:hanging="360"/>
      </w:pPr>
      <w:rPr>
        <w:rFonts w:ascii="Symbol" w:hAnsi="Symbol" w:hint="default"/>
        <w:u w:val="none"/>
      </w:rPr>
    </w:lvl>
    <w:lvl w:ilvl="1" w:tplc="04150003" w:tentative="1">
      <w:start w:val="1"/>
      <w:numFmt w:val="bullet"/>
      <w:lvlText w:val="o"/>
      <w:lvlJc w:val="left"/>
      <w:pPr>
        <w:ind w:left="1721" w:hanging="360"/>
      </w:pPr>
      <w:rPr>
        <w:rFonts w:ascii="Courier New" w:hAnsi="Courier New" w:cs="Courier New" w:hint="default"/>
      </w:rPr>
    </w:lvl>
    <w:lvl w:ilvl="2" w:tplc="04150005" w:tentative="1">
      <w:start w:val="1"/>
      <w:numFmt w:val="bullet"/>
      <w:lvlText w:val=""/>
      <w:lvlJc w:val="left"/>
      <w:pPr>
        <w:ind w:left="2441" w:hanging="360"/>
      </w:pPr>
      <w:rPr>
        <w:rFonts w:ascii="Wingdings" w:hAnsi="Wingdings" w:hint="default"/>
      </w:rPr>
    </w:lvl>
    <w:lvl w:ilvl="3" w:tplc="04150001" w:tentative="1">
      <w:start w:val="1"/>
      <w:numFmt w:val="bullet"/>
      <w:lvlText w:val=""/>
      <w:lvlJc w:val="left"/>
      <w:pPr>
        <w:ind w:left="3161" w:hanging="360"/>
      </w:pPr>
      <w:rPr>
        <w:rFonts w:ascii="Symbol" w:hAnsi="Symbol" w:hint="default"/>
      </w:rPr>
    </w:lvl>
    <w:lvl w:ilvl="4" w:tplc="04150003" w:tentative="1">
      <w:start w:val="1"/>
      <w:numFmt w:val="bullet"/>
      <w:lvlText w:val="o"/>
      <w:lvlJc w:val="left"/>
      <w:pPr>
        <w:ind w:left="3881" w:hanging="360"/>
      </w:pPr>
      <w:rPr>
        <w:rFonts w:ascii="Courier New" w:hAnsi="Courier New" w:cs="Courier New" w:hint="default"/>
      </w:rPr>
    </w:lvl>
    <w:lvl w:ilvl="5" w:tplc="04150005" w:tentative="1">
      <w:start w:val="1"/>
      <w:numFmt w:val="bullet"/>
      <w:lvlText w:val=""/>
      <w:lvlJc w:val="left"/>
      <w:pPr>
        <w:ind w:left="4601" w:hanging="360"/>
      </w:pPr>
      <w:rPr>
        <w:rFonts w:ascii="Wingdings" w:hAnsi="Wingdings" w:hint="default"/>
      </w:rPr>
    </w:lvl>
    <w:lvl w:ilvl="6" w:tplc="04150001" w:tentative="1">
      <w:start w:val="1"/>
      <w:numFmt w:val="bullet"/>
      <w:lvlText w:val=""/>
      <w:lvlJc w:val="left"/>
      <w:pPr>
        <w:ind w:left="5321" w:hanging="360"/>
      </w:pPr>
      <w:rPr>
        <w:rFonts w:ascii="Symbol" w:hAnsi="Symbol" w:hint="default"/>
      </w:rPr>
    </w:lvl>
    <w:lvl w:ilvl="7" w:tplc="04150003" w:tentative="1">
      <w:start w:val="1"/>
      <w:numFmt w:val="bullet"/>
      <w:lvlText w:val="o"/>
      <w:lvlJc w:val="left"/>
      <w:pPr>
        <w:ind w:left="6041" w:hanging="360"/>
      </w:pPr>
      <w:rPr>
        <w:rFonts w:ascii="Courier New" w:hAnsi="Courier New" w:cs="Courier New" w:hint="default"/>
      </w:rPr>
    </w:lvl>
    <w:lvl w:ilvl="8" w:tplc="04150005" w:tentative="1">
      <w:start w:val="1"/>
      <w:numFmt w:val="bullet"/>
      <w:lvlText w:val=""/>
      <w:lvlJc w:val="left"/>
      <w:pPr>
        <w:ind w:left="6761" w:hanging="360"/>
      </w:pPr>
      <w:rPr>
        <w:rFonts w:ascii="Wingdings" w:hAnsi="Wingdings" w:hint="default"/>
      </w:rPr>
    </w:lvl>
  </w:abstractNum>
  <w:abstractNum w:abstractNumId="32" w15:restartNumberingAfterBreak="0">
    <w:nsid w:val="5D8B78B0"/>
    <w:multiLevelType w:val="hybridMultilevel"/>
    <w:tmpl w:val="B9BCE98A"/>
    <w:lvl w:ilvl="0" w:tplc="742C2CB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FD838D8"/>
    <w:multiLevelType w:val="hybridMultilevel"/>
    <w:tmpl w:val="2CDC5ACE"/>
    <w:lvl w:ilvl="0" w:tplc="04150011">
      <w:start w:val="1"/>
      <w:numFmt w:val="decimal"/>
      <w:lvlText w:val="%1)"/>
      <w:lvlJc w:val="left"/>
      <w:pPr>
        <w:tabs>
          <w:tab w:val="num" w:pos="720"/>
        </w:tabs>
        <w:ind w:left="720" w:hanging="360"/>
      </w:pPr>
      <w:rPr>
        <w:rFonts w:hint="default"/>
      </w:rPr>
    </w:lvl>
    <w:lvl w:ilvl="1" w:tplc="7CECD44C">
      <w:start w:val="1"/>
      <w:numFmt w:val="bullet"/>
      <w:lvlText w:val=""/>
      <w:lvlJc w:val="left"/>
      <w:pPr>
        <w:tabs>
          <w:tab w:val="num" w:pos="1440"/>
        </w:tabs>
        <w:ind w:left="1440" w:hanging="360"/>
      </w:pPr>
      <w:rPr>
        <w:rFonts w:ascii="Symbol" w:hAnsi="Symbol" w:hint="default"/>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7E54D9"/>
    <w:multiLevelType w:val="hybridMultilevel"/>
    <w:tmpl w:val="B53E9B7E"/>
    <w:lvl w:ilvl="0" w:tplc="2864FAB0">
      <w:start w:val="1"/>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11DF5"/>
    <w:multiLevelType w:val="hybridMultilevel"/>
    <w:tmpl w:val="656C3964"/>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6" w15:restartNumberingAfterBreak="0">
    <w:nsid w:val="63661A4C"/>
    <w:multiLevelType w:val="hybridMultilevel"/>
    <w:tmpl w:val="3D4A96C8"/>
    <w:lvl w:ilvl="0" w:tplc="D47048FE">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hint="default"/>
      </w:rPr>
    </w:lvl>
    <w:lvl w:ilvl="2" w:tplc="D47048FE">
      <w:start w:val="1"/>
      <w:numFmt w:val="decimal"/>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6273042"/>
    <w:multiLevelType w:val="hybridMultilevel"/>
    <w:tmpl w:val="28D03608"/>
    <w:lvl w:ilvl="0" w:tplc="9FCCCD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6C14F44"/>
    <w:multiLevelType w:val="hybridMultilevel"/>
    <w:tmpl w:val="665A2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A65E64"/>
    <w:multiLevelType w:val="hybridMultilevel"/>
    <w:tmpl w:val="FD80BB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ED23538"/>
    <w:multiLevelType w:val="hybridMultilevel"/>
    <w:tmpl w:val="ABF6A856"/>
    <w:lvl w:ilvl="0" w:tplc="2864FAB0">
      <w:start w:val="1"/>
      <w:numFmt w:val="decimal"/>
      <w:lvlText w:val="%1)"/>
      <w:lvlJc w:val="left"/>
      <w:pPr>
        <w:tabs>
          <w:tab w:val="num" w:pos="644"/>
        </w:tabs>
        <w:ind w:left="644" w:hanging="360"/>
      </w:pPr>
      <w:rPr>
        <w:rFonts w:hint="default"/>
        <w:strike w:val="0"/>
        <w:dstrike w:val="0"/>
        <w:color w:val="auto"/>
      </w:rPr>
    </w:lvl>
    <w:lvl w:ilvl="1" w:tplc="E8A0FBA4">
      <w:start w:val="1"/>
      <w:numFmt w:val="decimal"/>
      <w:lvlText w:val="%2)"/>
      <w:lvlJc w:val="left"/>
      <w:pPr>
        <w:tabs>
          <w:tab w:val="num" w:pos="1211"/>
        </w:tabs>
        <w:ind w:left="1211" w:hanging="360"/>
      </w:pPr>
      <w:rPr>
        <w:rFonts w:hint="default"/>
        <w:b w:val="0"/>
      </w:rPr>
    </w:lvl>
    <w:lvl w:ilvl="2" w:tplc="E32C980E">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DE11CC"/>
    <w:multiLevelType w:val="hybridMultilevel"/>
    <w:tmpl w:val="F0E2B286"/>
    <w:lvl w:ilvl="0" w:tplc="7CECD44C">
      <w:start w:val="1"/>
      <w:numFmt w:val="bullet"/>
      <w:lvlText w:val=""/>
      <w:lvlJc w:val="left"/>
      <w:pPr>
        <w:ind w:left="2069" w:hanging="360"/>
      </w:pPr>
      <w:rPr>
        <w:rFonts w:ascii="Symbol" w:hAnsi="Symbol" w:hint="default"/>
        <w:u w:val="none"/>
      </w:rPr>
    </w:lvl>
    <w:lvl w:ilvl="1" w:tplc="04150003" w:tentative="1">
      <w:start w:val="1"/>
      <w:numFmt w:val="bullet"/>
      <w:lvlText w:val="o"/>
      <w:lvlJc w:val="left"/>
      <w:pPr>
        <w:ind w:left="2789" w:hanging="360"/>
      </w:pPr>
      <w:rPr>
        <w:rFonts w:ascii="Courier New" w:hAnsi="Courier New" w:cs="Courier New" w:hint="default"/>
      </w:rPr>
    </w:lvl>
    <w:lvl w:ilvl="2" w:tplc="04150005" w:tentative="1">
      <w:start w:val="1"/>
      <w:numFmt w:val="bullet"/>
      <w:lvlText w:val=""/>
      <w:lvlJc w:val="left"/>
      <w:pPr>
        <w:ind w:left="3509" w:hanging="360"/>
      </w:pPr>
      <w:rPr>
        <w:rFonts w:ascii="Wingdings" w:hAnsi="Wingdings" w:hint="default"/>
      </w:rPr>
    </w:lvl>
    <w:lvl w:ilvl="3" w:tplc="04150001" w:tentative="1">
      <w:start w:val="1"/>
      <w:numFmt w:val="bullet"/>
      <w:lvlText w:val=""/>
      <w:lvlJc w:val="left"/>
      <w:pPr>
        <w:ind w:left="4229" w:hanging="360"/>
      </w:pPr>
      <w:rPr>
        <w:rFonts w:ascii="Symbol" w:hAnsi="Symbol" w:hint="default"/>
      </w:rPr>
    </w:lvl>
    <w:lvl w:ilvl="4" w:tplc="04150003" w:tentative="1">
      <w:start w:val="1"/>
      <w:numFmt w:val="bullet"/>
      <w:lvlText w:val="o"/>
      <w:lvlJc w:val="left"/>
      <w:pPr>
        <w:ind w:left="4949" w:hanging="360"/>
      </w:pPr>
      <w:rPr>
        <w:rFonts w:ascii="Courier New" w:hAnsi="Courier New" w:cs="Courier New" w:hint="default"/>
      </w:rPr>
    </w:lvl>
    <w:lvl w:ilvl="5" w:tplc="04150005" w:tentative="1">
      <w:start w:val="1"/>
      <w:numFmt w:val="bullet"/>
      <w:lvlText w:val=""/>
      <w:lvlJc w:val="left"/>
      <w:pPr>
        <w:ind w:left="5669" w:hanging="360"/>
      </w:pPr>
      <w:rPr>
        <w:rFonts w:ascii="Wingdings" w:hAnsi="Wingdings" w:hint="default"/>
      </w:rPr>
    </w:lvl>
    <w:lvl w:ilvl="6" w:tplc="04150001" w:tentative="1">
      <w:start w:val="1"/>
      <w:numFmt w:val="bullet"/>
      <w:lvlText w:val=""/>
      <w:lvlJc w:val="left"/>
      <w:pPr>
        <w:ind w:left="6389" w:hanging="360"/>
      </w:pPr>
      <w:rPr>
        <w:rFonts w:ascii="Symbol" w:hAnsi="Symbol" w:hint="default"/>
      </w:rPr>
    </w:lvl>
    <w:lvl w:ilvl="7" w:tplc="04150003" w:tentative="1">
      <w:start w:val="1"/>
      <w:numFmt w:val="bullet"/>
      <w:lvlText w:val="o"/>
      <w:lvlJc w:val="left"/>
      <w:pPr>
        <w:ind w:left="7109" w:hanging="360"/>
      </w:pPr>
      <w:rPr>
        <w:rFonts w:ascii="Courier New" w:hAnsi="Courier New" w:cs="Courier New" w:hint="default"/>
      </w:rPr>
    </w:lvl>
    <w:lvl w:ilvl="8" w:tplc="04150005" w:tentative="1">
      <w:start w:val="1"/>
      <w:numFmt w:val="bullet"/>
      <w:lvlText w:val=""/>
      <w:lvlJc w:val="left"/>
      <w:pPr>
        <w:ind w:left="7829" w:hanging="360"/>
      </w:pPr>
      <w:rPr>
        <w:rFonts w:ascii="Wingdings" w:hAnsi="Wingdings" w:hint="default"/>
      </w:rPr>
    </w:lvl>
  </w:abstractNum>
  <w:abstractNum w:abstractNumId="42" w15:restartNumberingAfterBreak="0">
    <w:nsid w:val="6F3C200A"/>
    <w:multiLevelType w:val="hybridMultilevel"/>
    <w:tmpl w:val="C68C9310"/>
    <w:lvl w:ilvl="0" w:tplc="2864FAB0">
      <w:start w:val="1"/>
      <w:numFmt w:val="decimal"/>
      <w:lvlText w:val="%1)"/>
      <w:lvlJc w:val="left"/>
      <w:pPr>
        <w:tabs>
          <w:tab w:val="num" w:pos="1001"/>
        </w:tabs>
        <w:ind w:left="1001" w:hanging="360"/>
      </w:pPr>
      <w:rPr>
        <w:rFonts w:hint="default"/>
        <w:strike w:val="0"/>
        <w:dstrike w:val="0"/>
        <w:color w:val="auto"/>
      </w:rPr>
    </w:lvl>
    <w:lvl w:ilvl="1" w:tplc="D312FF1E">
      <w:start w:val="1"/>
      <w:numFmt w:val="decimal"/>
      <w:lvlText w:val="%2)"/>
      <w:lvlJc w:val="left"/>
      <w:pPr>
        <w:tabs>
          <w:tab w:val="num" w:pos="1568"/>
        </w:tabs>
        <w:ind w:left="1568" w:hanging="360"/>
      </w:pPr>
      <w:rPr>
        <w:rFonts w:hint="default"/>
        <w:b w:val="0"/>
      </w:rPr>
    </w:lvl>
    <w:lvl w:ilvl="2" w:tplc="E32C980E">
      <w:start w:val="1"/>
      <w:numFmt w:val="lowerLetter"/>
      <w:lvlText w:val="%3)"/>
      <w:lvlJc w:val="left"/>
      <w:pPr>
        <w:tabs>
          <w:tab w:val="num" w:pos="2697"/>
        </w:tabs>
        <w:ind w:left="2697" w:hanging="360"/>
      </w:pPr>
      <w:rPr>
        <w:rFonts w:hint="default"/>
        <w:b w:val="0"/>
      </w:r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3" w15:restartNumberingAfterBreak="0">
    <w:nsid w:val="728A5E3C"/>
    <w:multiLevelType w:val="hybridMultilevel"/>
    <w:tmpl w:val="BBD45530"/>
    <w:lvl w:ilvl="0" w:tplc="9402AA04">
      <w:start w:val="4"/>
      <w:numFmt w:val="decimal"/>
      <w:lvlText w:val="%1)"/>
      <w:lvlJc w:val="left"/>
      <w:pPr>
        <w:tabs>
          <w:tab w:val="num" w:pos="719"/>
        </w:tabs>
        <w:ind w:left="719" w:hanging="360"/>
      </w:pPr>
      <w:rPr>
        <w:rFonts w:hint="default"/>
        <w:b w:val="0"/>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44" w15:restartNumberingAfterBreak="0">
    <w:nsid w:val="755F7E13"/>
    <w:multiLevelType w:val="hybridMultilevel"/>
    <w:tmpl w:val="F5FA270A"/>
    <w:lvl w:ilvl="0" w:tplc="F8268E7E">
      <w:start w:val="4"/>
      <w:numFmt w:val="decimal"/>
      <w:lvlText w:val="%1)"/>
      <w:lvlJc w:val="left"/>
      <w:pPr>
        <w:ind w:left="860" w:hanging="360"/>
      </w:pPr>
      <w:rPr>
        <w:rFonts w:hint="default"/>
        <w:strike w:val="0"/>
        <w:dstrike w:val="0"/>
        <w:color w:val="auto"/>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5" w15:restartNumberingAfterBreak="0">
    <w:nsid w:val="775D69C2"/>
    <w:multiLevelType w:val="hybridMultilevel"/>
    <w:tmpl w:val="12A45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226FFC"/>
    <w:multiLevelType w:val="hybridMultilevel"/>
    <w:tmpl w:val="ECAC33E4"/>
    <w:lvl w:ilvl="0" w:tplc="04150011">
      <w:start w:val="1"/>
      <w:numFmt w:val="decimal"/>
      <w:lvlText w:val="%1)"/>
      <w:lvlJc w:val="left"/>
      <w:pPr>
        <w:tabs>
          <w:tab w:val="num" w:pos="720"/>
        </w:tabs>
        <w:ind w:left="720" w:hanging="360"/>
      </w:pPr>
      <w:rPr>
        <w:rFonts w:hint="default"/>
      </w:rPr>
    </w:lvl>
    <w:lvl w:ilvl="1" w:tplc="7CECD44C">
      <w:start w:val="1"/>
      <w:numFmt w:val="bullet"/>
      <w:lvlText w:val=""/>
      <w:lvlJc w:val="left"/>
      <w:pPr>
        <w:tabs>
          <w:tab w:val="num" w:pos="1440"/>
        </w:tabs>
        <w:ind w:left="1440" w:hanging="360"/>
      </w:pPr>
      <w:rPr>
        <w:rFonts w:ascii="Symbol" w:hAnsi="Symbol" w:hint="default"/>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F14B0B"/>
    <w:multiLevelType w:val="multilevel"/>
    <w:tmpl w:val="57642F92"/>
    <w:lvl w:ilvl="0">
      <w:start w:val="80"/>
      <w:numFmt w:val="decimal"/>
      <w:lvlText w:val="%1"/>
      <w:lvlJc w:val="left"/>
      <w:pPr>
        <w:ind w:left="600" w:hanging="600"/>
      </w:pPr>
      <w:rPr>
        <w:rFonts w:hint="default"/>
      </w:rPr>
    </w:lvl>
    <w:lvl w:ilvl="1">
      <w:start w:val="506"/>
      <w:numFmt w:val="decimal"/>
      <w:lvlText w:val="%1-%2"/>
      <w:lvlJc w:val="left"/>
      <w:pPr>
        <w:ind w:left="1244" w:hanging="60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8" w15:restartNumberingAfterBreak="0">
    <w:nsid w:val="7BDC068D"/>
    <w:multiLevelType w:val="hybridMultilevel"/>
    <w:tmpl w:val="26946240"/>
    <w:lvl w:ilvl="0" w:tplc="98B833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ECD5433"/>
    <w:multiLevelType w:val="hybridMultilevel"/>
    <w:tmpl w:val="003C744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6"/>
  </w:num>
  <w:num w:numId="4">
    <w:abstractNumId w:val="27"/>
  </w:num>
  <w:num w:numId="5">
    <w:abstractNumId w:val="10"/>
  </w:num>
  <w:num w:numId="6">
    <w:abstractNumId w:val="8"/>
  </w:num>
  <w:num w:numId="7">
    <w:abstractNumId w:val="32"/>
  </w:num>
  <w:num w:numId="8">
    <w:abstractNumId w:val="41"/>
  </w:num>
  <w:num w:numId="9">
    <w:abstractNumId w:val="11"/>
  </w:num>
  <w:num w:numId="10">
    <w:abstractNumId w:val="45"/>
  </w:num>
  <w:num w:numId="11">
    <w:abstractNumId w:val="29"/>
  </w:num>
  <w:num w:numId="12">
    <w:abstractNumId w:val="24"/>
  </w:num>
  <w:num w:numId="13">
    <w:abstractNumId w:val="37"/>
  </w:num>
  <w:num w:numId="14">
    <w:abstractNumId w:val="46"/>
  </w:num>
  <w:num w:numId="15">
    <w:abstractNumId w:val="49"/>
  </w:num>
  <w:num w:numId="16">
    <w:abstractNumId w:val="33"/>
  </w:num>
  <w:num w:numId="17">
    <w:abstractNumId w:val="15"/>
  </w:num>
  <w:num w:numId="18">
    <w:abstractNumId w:val="9"/>
  </w:num>
  <w:num w:numId="19">
    <w:abstractNumId w:val="20"/>
  </w:num>
  <w:num w:numId="20">
    <w:abstractNumId w:val="18"/>
  </w:num>
  <w:num w:numId="21">
    <w:abstractNumId w:val="13"/>
  </w:num>
  <w:num w:numId="22">
    <w:abstractNumId w:val="14"/>
  </w:num>
  <w:num w:numId="23">
    <w:abstractNumId w:val="48"/>
  </w:num>
  <w:num w:numId="24">
    <w:abstractNumId w:val="2"/>
  </w:num>
  <w:num w:numId="25">
    <w:abstractNumId w:val="19"/>
  </w:num>
  <w:num w:numId="26">
    <w:abstractNumId w:val="5"/>
  </w:num>
  <w:num w:numId="27">
    <w:abstractNumId w:val="38"/>
  </w:num>
  <w:num w:numId="28">
    <w:abstractNumId w:val="36"/>
  </w:num>
  <w:num w:numId="29">
    <w:abstractNumId w:val="39"/>
  </w:num>
  <w:num w:numId="30">
    <w:abstractNumId w:val="4"/>
  </w:num>
  <w:num w:numId="31">
    <w:abstractNumId w:val="34"/>
  </w:num>
  <w:num w:numId="32">
    <w:abstractNumId w:val="40"/>
  </w:num>
  <w:num w:numId="33">
    <w:abstractNumId w:val="43"/>
  </w:num>
  <w:num w:numId="34">
    <w:abstractNumId w:val="1"/>
  </w:num>
  <w:num w:numId="35">
    <w:abstractNumId w:val="0"/>
  </w:num>
  <w:num w:numId="36">
    <w:abstractNumId w:val="26"/>
  </w:num>
  <w:num w:numId="37">
    <w:abstractNumId w:val="31"/>
  </w:num>
  <w:num w:numId="38">
    <w:abstractNumId w:val="47"/>
  </w:num>
  <w:num w:numId="39">
    <w:abstractNumId w:val="44"/>
  </w:num>
  <w:num w:numId="40">
    <w:abstractNumId w:val="3"/>
  </w:num>
  <w:num w:numId="41">
    <w:abstractNumId w:val="42"/>
  </w:num>
  <w:num w:numId="42">
    <w:abstractNumId w:val="21"/>
  </w:num>
  <w:num w:numId="43">
    <w:abstractNumId w:val="16"/>
  </w:num>
  <w:num w:numId="44">
    <w:abstractNumId w:val="23"/>
  </w:num>
  <w:num w:numId="45">
    <w:abstractNumId w:val="7"/>
  </w:num>
  <w:num w:numId="46">
    <w:abstractNumId w:val="22"/>
  </w:num>
  <w:num w:numId="47">
    <w:abstractNumId w:val="30"/>
  </w:num>
  <w:num w:numId="48">
    <w:abstractNumId w:val="25"/>
  </w:num>
  <w:num w:numId="49">
    <w:abstractNumId w:val="17"/>
  </w:num>
  <w:num w:numId="50">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3C"/>
    <w:rsid w:val="00000375"/>
    <w:rsid w:val="00000B6E"/>
    <w:rsid w:val="00004D73"/>
    <w:rsid w:val="0000514E"/>
    <w:rsid w:val="00013475"/>
    <w:rsid w:val="00014C15"/>
    <w:rsid w:val="000233F1"/>
    <w:rsid w:val="00025056"/>
    <w:rsid w:val="00025963"/>
    <w:rsid w:val="00026C75"/>
    <w:rsid w:val="00026C96"/>
    <w:rsid w:val="0002775A"/>
    <w:rsid w:val="00037E0F"/>
    <w:rsid w:val="00041F94"/>
    <w:rsid w:val="0004258F"/>
    <w:rsid w:val="00043E7F"/>
    <w:rsid w:val="00043F54"/>
    <w:rsid w:val="0004705E"/>
    <w:rsid w:val="000477F5"/>
    <w:rsid w:val="00050558"/>
    <w:rsid w:val="000546DE"/>
    <w:rsid w:val="00055A75"/>
    <w:rsid w:val="000563A3"/>
    <w:rsid w:val="00062A4C"/>
    <w:rsid w:val="00063F04"/>
    <w:rsid w:val="000658B0"/>
    <w:rsid w:val="000668D2"/>
    <w:rsid w:val="00066E37"/>
    <w:rsid w:val="000672E8"/>
    <w:rsid w:val="00070FDD"/>
    <w:rsid w:val="0007278F"/>
    <w:rsid w:val="00072EE2"/>
    <w:rsid w:val="00073262"/>
    <w:rsid w:val="00074BC6"/>
    <w:rsid w:val="00074FF7"/>
    <w:rsid w:val="0007617E"/>
    <w:rsid w:val="00076501"/>
    <w:rsid w:val="00080FC3"/>
    <w:rsid w:val="000813CD"/>
    <w:rsid w:val="00081784"/>
    <w:rsid w:val="00081BA2"/>
    <w:rsid w:val="00082E23"/>
    <w:rsid w:val="00085525"/>
    <w:rsid w:val="000900FC"/>
    <w:rsid w:val="00090F22"/>
    <w:rsid w:val="000916DE"/>
    <w:rsid w:val="00092893"/>
    <w:rsid w:val="00094542"/>
    <w:rsid w:val="00096E0E"/>
    <w:rsid w:val="000974C5"/>
    <w:rsid w:val="000A16A6"/>
    <w:rsid w:val="000A27A4"/>
    <w:rsid w:val="000A3011"/>
    <w:rsid w:val="000B3155"/>
    <w:rsid w:val="000B6165"/>
    <w:rsid w:val="000C01FB"/>
    <w:rsid w:val="000C0FFE"/>
    <w:rsid w:val="000C219F"/>
    <w:rsid w:val="000D179B"/>
    <w:rsid w:val="000D5750"/>
    <w:rsid w:val="000D6DF5"/>
    <w:rsid w:val="000D7C29"/>
    <w:rsid w:val="000E065F"/>
    <w:rsid w:val="000F0E64"/>
    <w:rsid w:val="000F11DD"/>
    <w:rsid w:val="000F2052"/>
    <w:rsid w:val="000F7F2B"/>
    <w:rsid w:val="00101607"/>
    <w:rsid w:val="00103C2B"/>
    <w:rsid w:val="00106AC8"/>
    <w:rsid w:val="001148CF"/>
    <w:rsid w:val="00116B86"/>
    <w:rsid w:val="00116F88"/>
    <w:rsid w:val="001217EF"/>
    <w:rsid w:val="00123BA7"/>
    <w:rsid w:val="00124982"/>
    <w:rsid w:val="0012692F"/>
    <w:rsid w:val="0012699A"/>
    <w:rsid w:val="00133AC9"/>
    <w:rsid w:val="00135B5D"/>
    <w:rsid w:val="0013705B"/>
    <w:rsid w:val="00142145"/>
    <w:rsid w:val="00143DE5"/>
    <w:rsid w:val="001453D8"/>
    <w:rsid w:val="001463D9"/>
    <w:rsid w:val="00146D01"/>
    <w:rsid w:val="001528B5"/>
    <w:rsid w:val="0015530F"/>
    <w:rsid w:val="00157258"/>
    <w:rsid w:val="00157938"/>
    <w:rsid w:val="00161327"/>
    <w:rsid w:val="001639B0"/>
    <w:rsid w:val="00164F76"/>
    <w:rsid w:val="001657B5"/>
    <w:rsid w:val="00165C52"/>
    <w:rsid w:val="00165DFC"/>
    <w:rsid w:val="00167A4D"/>
    <w:rsid w:val="00175C99"/>
    <w:rsid w:val="00176112"/>
    <w:rsid w:val="00176BC5"/>
    <w:rsid w:val="00176D80"/>
    <w:rsid w:val="0018016B"/>
    <w:rsid w:val="00182AE9"/>
    <w:rsid w:val="00184CC5"/>
    <w:rsid w:val="00184F68"/>
    <w:rsid w:val="00185882"/>
    <w:rsid w:val="0018726C"/>
    <w:rsid w:val="00190E89"/>
    <w:rsid w:val="001A1969"/>
    <w:rsid w:val="001A3AAC"/>
    <w:rsid w:val="001A4381"/>
    <w:rsid w:val="001A45FA"/>
    <w:rsid w:val="001A563A"/>
    <w:rsid w:val="001A617A"/>
    <w:rsid w:val="001B093A"/>
    <w:rsid w:val="001B28CE"/>
    <w:rsid w:val="001C2B4E"/>
    <w:rsid w:val="001C4679"/>
    <w:rsid w:val="001C4693"/>
    <w:rsid w:val="001C604D"/>
    <w:rsid w:val="001C77E4"/>
    <w:rsid w:val="001D2DAE"/>
    <w:rsid w:val="001D4412"/>
    <w:rsid w:val="001D589C"/>
    <w:rsid w:val="001D7807"/>
    <w:rsid w:val="001D7F5F"/>
    <w:rsid w:val="001E2414"/>
    <w:rsid w:val="001E6E6B"/>
    <w:rsid w:val="001E7607"/>
    <w:rsid w:val="001F01BC"/>
    <w:rsid w:val="002047DC"/>
    <w:rsid w:val="00205561"/>
    <w:rsid w:val="002162C0"/>
    <w:rsid w:val="00220C8B"/>
    <w:rsid w:val="00220DBF"/>
    <w:rsid w:val="00222F39"/>
    <w:rsid w:val="00223063"/>
    <w:rsid w:val="002230CC"/>
    <w:rsid w:val="0022325D"/>
    <w:rsid w:val="00223AF5"/>
    <w:rsid w:val="00224C87"/>
    <w:rsid w:val="00232F3C"/>
    <w:rsid w:val="00235120"/>
    <w:rsid w:val="00236996"/>
    <w:rsid w:val="00237666"/>
    <w:rsid w:val="00242ECD"/>
    <w:rsid w:val="002433A4"/>
    <w:rsid w:val="00244C17"/>
    <w:rsid w:val="00252893"/>
    <w:rsid w:val="002538ED"/>
    <w:rsid w:val="00253B74"/>
    <w:rsid w:val="00253E8E"/>
    <w:rsid w:val="00254218"/>
    <w:rsid w:val="00255368"/>
    <w:rsid w:val="00257700"/>
    <w:rsid w:val="0026393F"/>
    <w:rsid w:val="00264A20"/>
    <w:rsid w:val="0026625C"/>
    <w:rsid w:val="002707BA"/>
    <w:rsid w:val="00270A39"/>
    <w:rsid w:val="00271643"/>
    <w:rsid w:val="002772E1"/>
    <w:rsid w:val="00277CCF"/>
    <w:rsid w:val="002813C0"/>
    <w:rsid w:val="00281F25"/>
    <w:rsid w:val="00283E02"/>
    <w:rsid w:val="00284275"/>
    <w:rsid w:val="00290F72"/>
    <w:rsid w:val="002A5DA5"/>
    <w:rsid w:val="002B0DE7"/>
    <w:rsid w:val="002B4B81"/>
    <w:rsid w:val="002C06A0"/>
    <w:rsid w:val="002C0862"/>
    <w:rsid w:val="002C4820"/>
    <w:rsid w:val="002D2262"/>
    <w:rsid w:val="002D3B7E"/>
    <w:rsid w:val="002D5A90"/>
    <w:rsid w:val="002E13B6"/>
    <w:rsid w:val="002F2FB9"/>
    <w:rsid w:val="002F3DB9"/>
    <w:rsid w:val="002F468B"/>
    <w:rsid w:val="00303269"/>
    <w:rsid w:val="0030417A"/>
    <w:rsid w:val="00306C78"/>
    <w:rsid w:val="00311B05"/>
    <w:rsid w:val="00315FAC"/>
    <w:rsid w:val="0031664B"/>
    <w:rsid w:val="00316A02"/>
    <w:rsid w:val="00317A6C"/>
    <w:rsid w:val="00320B5E"/>
    <w:rsid w:val="0032393B"/>
    <w:rsid w:val="003266B1"/>
    <w:rsid w:val="00332174"/>
    <w:rsid w:val="00335FF7"/>
    <w:rsid w:val="00336637"/>
    <w:rsid w:val="00337B38"/>
    <w:rsid w:val="00340CA1"/>
    <w:rsid w:val="00353AD1"/>
    <w:rsid w:val="00354513"/>
    <w:rsid w:val="00356755"/>
    <w:rsid w:val="00357EA8"/>
    <w:rsid w:val="00361D48"/>
    <w:rsid w:val="00363934"/>
    <w:rsid w:val="0036592E"/>
    <w:rsid w:val="00372799"/>
    <w:rsid w:val="00374740"/>
    <w:rsid w:val="00383046"/>
    <w:rsid w:val="00385774"/>
    <w:rsid w:val="003860B5"/>
    <w:rsid w:val="003934D2"/>
    <w:rsid w:val="00393F16"/>
    <w:rsid w:val="00396B37"/>
    <w:rsid w:val="00396D96"/>
    <w:rsid w:val="003A39D7"/>
    <w:rsid w:val="003A5B3D"/>
    <w:rsid w:val="003A6B94"/>
    <w:rsid w:val="003A744D"/>
    <w:rsid w:val="003A79F4"/>
    <w:rsid w:val="003B202C"/>
    <w:rsid w:val="003B22CD"/>
    <w:rsid w:val="003B2565"/>
    <w:rsid w:val="003B2D5C"/>
    <w:rsid w:val="003B2D88"/>
    <w:rsid w:val="003B5F9C"/>
    <w:rsid w:val="003C1014"/>
    <w:rsid w:val="003C2941"/>
    <w:rsid w:val="003C2A23"/>
    <w:rsid w:val="003C2FAD"/>
    <w:rsid w:val="003C34E7"/>
    <w:rsid w:val="003C4038"/>
    <w:rsid w:val="003C5405"/>
    <w:rsid w:val="003C7287"/>
    <w:rsid w:val="003D4DCD"/>
    <w:rsid w:val="003D7BDB"/>
    <w:rsid w:val="003E3A72"/>
    <w:rsid w:val="003E63BA"/>
    <w:rsid w:val="003E70FB"/>
    <w:rsid w:val="003F0699"/>
    <w:rsid w:val="003F144F"/>
    <w:rsid w:val="003F242E"/>
    <w:rsid w:val="003F3A2A"/>
    <w:rsid w:val="003F43F0"/>
    <w:rsid w:val="003F564A"/>
    <w:rsid w:val="00405D3C"/>
    <w:rsid w:val="00424D7F"/>
    <w:rsid w:val="00427146"/>
    <w:rsid w:val="0043144C"/>
    <w:rsid w:val="00434F18"/>
    <w:rsid w:val="00436256"/>
    <w:rsid w:val="0043761C"/>
    <w:rsid w:val="00442CC4"/>
    <w:rsid w:val="004434A3"/>
    <w:rsid w:val="00446547"/>
    <w:rsid w:val="004478C9"/>
    <w:rsid w:val="0045093E"/>
    <w:rsid w:val="004537EC"/>
    <w:rsid w:val="00457742"/>
    <w:rsid w:val="0046075B"/>
    <w:rsid w:val="00464100"/>
    <w:rsid w:val="00464D80"/>
    <w:rsid w:val="00465919"/>
    <w:rsid w:val="004737DE"/>
    <w:rsid w:val="00475C8E"/>
    <w:rsid w:val="00481BDC"/>
    <w:rsid w:val="00484E9F"/>
    <w:rsid w:val="004866C8"/>
    <w:rsid w:val="00490555"/>
    <w:rsid w:val="004921C2"/>
    <w:rsid w:val="00493A69"/>
    <w:rsid w:val="00497471"/>
    <w:rsid w:val="00497C86"/>
    <w:rsid w:val="004A2C7E"/>
    <w:rsid w:val="004B04B2"/>
    <w:rsid w:val="004B0DC5"/>
    <w:rsid w:val="004B24EB"/>
    <w:rsid w:val="004B2D49"/>
    <w:rsid w:val="004B64DA"/>
    <w:rsid w:val="004C0DB3"/>
    <w:rsid w:val="004C6512"/>
    <w:rsid w:val="004C774F"/>
    <w:rsid w:val="004C796D"/>
    <w:rsid w:val="004D13ED"/>
    <w:rsid w:val="004D3F8E"/>
    <w:rsid w:val="004D4993"/>
    <w:rsid w:val="004E1471"/>
    <w:rsid w:val="004E2002"/>
    <w:rsid w:val="004E5711"/>
    <w:rsid w:val="004E7656"/>
    <w:rsid w:val="004F02D5"/>
    <w:rsid w:val="004F15FC"/>
    <w:rsid w:val="004F1AE2"/>
    <w:rsid w:val="00505A42"/>
    <w:rsid w:val="00506ACB"/>
    <w:rsid w:val="00512E49"/>
    <w:rsid w:val="00515E30"/>
    <w:rsid w:val="00523FDA"/>
    <w:rsid w:val="00524E59"/>
    <w:rsid w:val="00527DAE"/>
    <w:rsid w:val="005307C5"/>
    <w:rsid w:val="00530B00"/>
    <w:rsid w:val="00530D57"/>
    <w:rsid w:val="00531B14"/>
    <w:rsid w:val="0053625A"/>
    <w:rsid w:val="00541B68"/>
    <w:rsid w:val="00542FE0"/>
    <w:rsid w:val="00546B3C"/>
    <w:rsid w:val="00552C6B"/>
    <w:rsid w:val="00553DE2"/>
    <w:rsid w:val="00554C18"/>
    <w:rsid w:val="005565C9"/>
    <w:rsid w:val="005607D7"/>
    <w:rsid w:val="00563674"/>
    <w:rsid w:val="00570A95"/>
    <w:rsid w:val="00572928"/>
    <w:rsid w:val="00580088"/>
    <w:rsid w:val="00581768"/>
    <w:rsid w:val="00581A84"/>
    <w:rsid w:val="005831B5"/>
    <w:rsid w:val="00583683"/>
    <w:rsid w:val="005841A3"/>
    <w:rsid w:val="00587EA5"/>
    <w:rsid w:val="005916E7"/>
    <w:rsid w:val="00592E33"/>
    <w:rsid w:val="005973D9"/>
    <w:rsid w:val="005975C3"/>
    <w:rsid w:val="00597BAB"/>
    <w:rsid w:val="005A058F"/>
    <w:rsid w:val="005A3A43"/>
    <w:rsid w:val="005A4B8B"/>
    <w:rsid w:val="005A5948"/>
    <w:rsid w:val="005A5E34"/>
    <w:rsid w:val="005B047C"/>
    <w:rsid w:val="005C23A8"/>
    <w:rsid w:val="005C2E7C"/>
    <w:rsid w:val="005C45DF"/>
    <w:rsid w:val="005C6506"/>
    <w:rsid w:val="005D17C2"/>
    <w:rsid w:val="005D1BFA"/>
    <w:rsid w:val="005E17D8"/>
    <w:rsid w:val="005E20BA"/>
    <w:rsid w:val="005E5506"/>
    <w:rsid w:val="005E6E18"/>
    <w:rsid w:val="005F1B5C"/>
    <w:rsid w:val="005F24F2"/>
    <w:rsid w:val="005F2520"/>
    <w:rsid w:val="005F54A8"/>
    <w:rsid w:val="005F6B37"/>
    <w:rsid w:val="005F6E79"/>
    <w:rsid w:val="005F7101"/>
    <w:rsid w:val="005F7EBE"/>
    <w:rsid w:val="0060074B"/>
    <w:rsid w:val="00600B31"/>
    <w:rsid w:val="00605CDB"/>
    <w:rsid w:val="00607AE3"/>
    <w:rsid w:val="00610E51"/>
    <w:rsid w:val="00611CAA"/>
    <w:rsid w:val="00611F8B"/>
    <w:rsid w:val="00612318"/>
    <w:rsid w:val="00625FBC"/>
    <w:rsid w:val="00635D5C"/>
    <w:rsid w:val="006405B2"/>
    <w:rsid w:val="006417D6"/>
    <w:rsid w:val="00645378"/>
    <w:rsid w:val="00651A29"/>
    <w:rsid w:val="0065225D"/>
    <w:rsid w:val="00654296"/>
    <w:rsid w:val="0065722C"/>
    <w:rsid w:val="0066036A"/>
    <w:rsid w:val="00662776"/>
    <w:rsid w:val="006636A4"/>
    <w:rsid w:val="00664CF1"/>
    <w:rsid w:val="00670AD0"/>
    <w:rsid w:val="00671392"/>
    <w:rsid w:val="00671837"/>
    <w:rsid w:val="006732F5"/>
    <w:rsid w:val="00673FD2"/>
    <w:rsid w:val="006747F7"/>
    <w:rsid w:val="00674AE7"/>
    <w:rsid w:val="00675037"/>
    <w:rsid w:val="0068786E"/>
    <w:rsid w:val="00690606"/>
    <w:rsid w:val="00692E7E"/>
    <w:rsid w:val="00694775"/>
    <w:rsid w:val="00695DAD"/>
    <w:rsid w:val="00695F42"/>
    <w:rsid w:val="006A0568"/>
    <w:rsid w:val="006A1909"/>
    <w:rsid w:val="006A5C96"/>
    <w:rsid w:val="006A6B65"/>
    <w:rsid w:val="006A6CEB"/>
    <w:rsid w:val="006B0820"/>
    <w:rsid w:val="006B2462"/>
    <w:rsid w:val="006B4174"/>
    <w:rsid w:val="006C13B3"/>
    <w:rsid w:val="006C325F"/>
    <w:rsid w:val="006C7634"/>
    <w:rsid w:val="006D3047"/>
    <w:rsid w:val="006D32D2"/>
    <w:rsid w:val="006F2276"/>
    <w:rsid w:val="006F3651"/>
    <w:rsid w:val="00704F36"/>
    <w:rsid w:val="00711D02"/>
    <w:rsid w:val="00714ED9"/>
    <w:rsid w:val="0071549E"/>
    <w:rsid w:val="00716DD9"/>
    <w:rsid w:val="00720D41"/>
    <w:rsid w:val="007211E6"/>
    <w:rsid w:val="00724077"/>
    <w:rsid w:val="007247BD"/>
    <w:rsid w:val="007256CE"/>
    <w:rsid w:val="00727356"/>
    <w:rsid w:val="00730043"/>
    <w:rsid w:val="007314CE"/>
    <w:rsid w:val="00731719"/>
    <w:rsid w:val="00733C98"/>
    <w:rsid w:val="00736654"/>
    <w:rsid w:val="00736AA6"/>
    <w:rsid w:val="0074543E"/>
    <w:rsid w:val="007457C0"/>
    <w:rsid w:val="0074630E"/>
    <w:rsid w:val="00746CA3"/>
    <w:rsid w:val="0075164C"/>
    <w:rsid w:val="0076113C"/>
    <w:rsid w:val="00762B75"/>
    <w:rsid w:val="00764422"/>
    <w:rsid w:val="00764F65"/>
    <w:rsid w:val="0076547A"/>
    <w:rsid w:val="00767244"/>
    <w:rsid w:val="00767889"/>
    <w:rsid w:val="00767CF3"/>
    <w:rsid w:val="00775AD0"/>
    <w:rsid w:val="00776651"/>
    <w:rsid w:val="007768F0"/>
    <w:rsid w:val="00781256"/>
    <w:rsid w:val="007943E7"/>
    <w:rsid w:val="007949B0"/>
    <w:rsid w:val="007A1084"/>
    <w:rsid w:val="007A5885"/>
    <w:rsid w:val="007A62D3"/>
    <w:rsid w:val="007A71FD"/>
    <w:rsid w:val="007B0A81"/>
    <w:rsid w:val="007B50E2"/>
    <w:rsid w:val="007B6BE6"/>
    <w:rsid w:val="007C4474"/>
    <w:rsid w:val="007D1228"/>
    <w:rsid w:val="007D381A"/>
    <w:rsid w:val="007E57A7"/>
    <w:rsid w:val="007E6639"/>
    <w:rsid w:val="007E67FE"/>
    <w:rsid w:val="007E7E47"/>
    <w:rsid w:val="007F1AB3"/>
    <w:rsid w:val="007F3DCA"/>
    <w:rsid w:val="007F6426"/>
    <w:rsid w:val="00802A93"/>
    <w:rsid w:val="00803C32"/>
    <w:rsid w:val="00803E9D"/>
    <w:rsid w:val="00805456"/>
    <w:rsid w:val="008055B3"/>
    <w:rsid w:val="0081016C"/>
    <w:rsid w:val="008128BE"/>
    <w:rsid w:val="00812AA0"/>
    <w:rsid w:val="008160CB"/>
    <w:rsid w:val="0081695A"/>
    <w:rsid w:val="00824ECC"/>
    <w:rsid w:val="00825EB5"/>
    <w:rsid w:val="008268C2"/>
    <w:rsid w:val="00827263"/>
    <w:rsid w:val="008325DE"/>
    <w:rsid w:val="00832EAA"/>
    <w:rsid w:val="00834FD8"/>
    <w:rsid w:val="00835533"/>
    <w:rsid w:val="00835C57"/>
    <w:rsid w:val="00836949"/>
    <w:rsid w:val="0084107F"/>
    <w:rsid w:val="00842824"/>
    <w:rsid w:val="00842AC2"/>
    <w:rsid w:val="00842F7B"/>
    <w:rsid w:val="008473B9"/>
    <w:rsid w:val="00852F79"/>
    <w:rsid w:val="0085302C"/>
    <w:rsid w:val="00855C01"/>
    <w:rsid w:val="00856E58"/>
    <w:rsid w:val="00857CA4"/>
    <w:rsid w:val="00860B29"/>
    <w:rsid w:val="00860EDF"/>
    <w:rsid w:val="00864174"/>
    <w:rsid w:val="00864D9E"/>
    <w:rsid w:val="00864F35"/>
    <w:rsid w:val="008665A0"/>
    <w:rsid w:val="0086662C"/>
    <w:rsid w:val="00870AE1"/>
    <w:rsid w:val="00871E0B"/>
    <w:rsid w:val="00876AC7"/>
    <w:rsid w:val="008819D2"/>
    <w:rsid w:val="0088552C"/>
    <w:rsid w:val="00885AAB"/>
    <w:rsid w:val="00885C49"/>
    <w:rsid w:val="00887CDA"/>
    <w:rsid w:val="00890FAC"/>
    <w:rsid w:val="00897153"/>
    <w:rsid w:val="008A0408"/>
    <w:rsid w:val="008A4380"/>
    <w:rsid w:val="008A63EE"/>
    <w:rsid w:val="008B2105"/>
    <w:rsid w:val="008B6182"/>
    <w:rsid w:val="008B79C9"/>
    <w:rsid w:val="008C2574"/>
    <w:rsid w:val="008C27F0"/>
    <w:rsid w:val="008C39F3"/>
    <w:rsid w:val="008C630F"/>
    <w:rsid w:val="008D085A"/>
    <w:rsid w:val="008D15C9"/>
    <w:rsid w:val="008D2056"/>
    <w:rsid w:val="008D3AD6"/>
    <w:rsid w:val="008D5BAF"/>
    <w:rsid w:val="008D6C29"/>
    <w:rsid w:val="008D711E"/>
    <w:rsid w:val="008E110A"/>
    <w:rsid w:val="008E1814"/>
    <w:rsid w:val="008E4FCE"/>
    <w:rsid w:val="008E5F40"/>
    <w:rsid w:val="008F0482"/>
    <w:rsid w:val="008F2A44"/>
    <w:rsid w:val="008F2B61"/>
    <w:rsid w:val="008F2DAA"/>
    <w:rsid w:val="008F3C31"/>
    <w:rsid w:val="008F5576"/>
    <w:rsid w:val="0090404D"/>
    <w:rsid w:val="00904C77"/>
    <w:rsid w:val="00904D61"/>
    <w:rsid w:val="00906A6A"/>
    <w:rsid w:val="00912939"/>
    <w:rsid w:val="0091584C"/>
    <w:rsid w:val="009172FD"/>
    <w:rsid w:val="0091779E"/>
    <w:rsid w:val="009223F6"/>
    <w:rsid w:val="00924FB9"/>
    <w:rsid w:val="00930E72"/>
    <w:rsid w:val="00931C57"/>
    <w:rsid w:val="009323B5"/>
    <w:rsid w:val="00933568"/>
    <w:rsid w:val="009360D1"/>
    <w:rsid w:val="0093663F"/>
    <w:rsid w:val="00940E5B"/>
    <w:rsid w:val="009462E0"/>
    <w:rsid w:val="00950123"/>
    <w:rsid w:val="00950DDE"/>
    <w:rsid w:val="00950E91"/>
    <w:rsid w:val="00952495"/>
    <w:rsid w:val="009557C7"/>
    <w:rsid w:val="009634BA"/>
    <w:rsid w:val="0096696A"/>
    <w:rsid w:val="00966E91"/>
    <w:rsid w:val="009702CE"/>
    <w:rsid w:val="009712EA"/>
    <w:rsid w:val="009714B7"/>
    <w:rsid w:val="0097394B"/>
    <w:rsid w:val="00975CBC"/>
    <w:rsid w:val="0098103C"/>
    <w:rsid w:val="00981F6A"/>
    <w:rsid w:val="009830F0"/>
    <w:rsid w:val="009868DD"/>
    <w:rsid w:val="0099113D"/>
    <w:rsid w:val="009925A7"/>
    <w:rsid w:val="00992E27"/>
    <w:rsid w:val="00993E79"/>
    <w:rsid w:val="00994300"/>
    <w:rsid w:val="009956CC"/>
    <w:rsid w:val="00996808"/>
    <w:rsid w:val="009978A1"/>
    <w:rsid w:val="009A4A6A"/>
    <w:rsid w:val="009A4D31"/>
    <w:rsid w:val="009C0F56"/>
    <w:rsid w:val="009C2CD8"/>
    <w:rsid w:val="009C3D7D"/>
    <w:rsid w:val="009C7C0D"/>
    <w:rsid w:val="009D29EE"/>
    <w:rsid w:val="009D3E6D"/>
    <w:rsid w:val="009D5628"/>
    <w:rsid w:val="009D65E5"/>
    <w:rsid w:val="009D6629"/>
    <w:rsid w:val="009D78D2"/>
    <w:rsid w:val="009E129D"/>
    <w:rsid w:val="009F3F28"/>
    <w:rsid w:val="00A0211F"/>
    <w:rsid w:val="00A05FAB"/>
    <w:rsid w:val="00A0710F"/>
    <w:rsid w:val="00A1174E"/>
    <w:rsid w:val="00A13BD2"/>
    <w:rsid w:val="00A1511B"/>
    <w:rsid w:val="00A20523"/>
    <w:rsid w:val="00A21A33"/>
    <w:rsid w:val="00A23269"/>
    <w:rsid w:val="00A27083"/>
    <w:rsid w:val="00A5163B"/>
    <w:rsid w:val="00A51F7B"/>
    <w:rsid w:val="00A54009"/>
    <w:rsid w:val="00A56DC1"/>
    <w:rsid w:val="00A61063"/>
    <w:rsid w:val="00A6127E"/>
    <w:rsid w:val="00A61499"/>
    <w:rsid w:val="00A630E9"/>
    <w:rsid w:val="00A660F8"/>
    <w:rsid w:val="00A66E4F"/>
    <w:rsid w:val="00A73C3C"/>
    <w:rsid w:val="00A743B4"/>
    <w:rsid w:val="00A7720A"/>
    <w:rsid w:val="00A811D1"/>
    <w:rsid w:val="00A82A43"/>
    <w:rsid w:val="00A851A4"/>
    <w:rsid w:val="00A851CD"/>
    <w:rsid w:val="00A87408"/>
    <w:rsid w:val="00A91032"/>
    <w:rsid w:val="00A91D06"/>
    <w:rsid w:val="00A948D4"/>
    <w:rsid w:val="00AA35FD"/>
    <w:rsid w:val="00AA5074"/>
    <w:rsid w:val="00AB0B91"/>
    <w:rsid w:val="00AB2D35"/>
    <w:rsid w:val="00AB4A0B"/>
    <w:rsid w:val="00AB7CE1"/>
    <w:rsid w:val="00AB7FAC"/>
    <w:rsid w:val="00AC172B"/>
    <w:rsid w:val="00AC35CD"/>
    <w:rsid w:val="00AC4E91"/>
    <w:rsid w:val="00AC614D"/>
    <w:rsid w:val="00AC6569"/>
    <w:rsid w:val="00AC6AD6"/>
    <w:rsid w:val="00AD1FAD"/>
    <w:rsid w:val="00AD686A"/>
    <w:rsid w:val="00AE018B"/>
    <w:rsid w:val="00AE461E"/>
    <w:rsid w:val="00AE6971"/>
    <w:rsid w:val="00AF4C8E"/>
    <w:rsid w:val="00AF5996"/>
    <w:rsid w:val="00B000C1"/>
    <w:rsid w:val="00B02C98"/>
    <w:rsid w:val="00B06DE3"/>
    <w:rsid w:val="00B107B0"/>
    <w:rsid w:val="00B11890"/>
    <w:rsid w:val="00B11D29"/>
    <w:rsid w:val="00B15F84"/>
    <w:rsid w:val="00B23C8B"/>
    <w:rsid w:val="00B3579D"/>
    <w:rsid w:val="00B365F4"/>
    <w:rsid w:val="00B40D0C"/>
    <w:rsid w:val="00B41445"/>
    <w:rsid w:val="00B43362"/>
    <w:rsid w:val="00B43786"/>
    <w:rsid w:val="00B43A18"/>
    <w:rsid w:val="00B449AD"/>
    <w:rsid w:val="00B457FF"/>
    <w:rsid w:val="00B460EE"/>
    <w:rsid w:val="00B529D1"/>
    <w:rsid w:val="00B65252"/>
    <w:rsid w:val="00B65B81"/>
    <w:rsid w:val="00B6644D"/>
    <w:rsid w:val="00B6647C"/>
    <w:rsid w:val="00B709B1"/>
    <w:rsid w:val="00B72FBC"/>
    <w:rsid w:val="00B75FE7"/>
    <w:rsid w:val="00B81825"/>
    <w:rsid w:val="00B81D17"/>
    <w:rsid w:val="00B85353"/>
    <w:rsid w:val="00B91E6D"/>
    <w:rsid w:val="00B92B66"/>
    <w:rsid w:val="00B9750A"/>
    <w:rsid w:val="00BA2125"/>
    <w:rsid w:val="00BB09E9"/>
    <w:rsid w:val="00BB4007"/>
    <w:rsid w:val="00BB4037"/>
    <w:rsid w:val="00BB588D"/>
    <w:rsid w:val="00BC295E"/>
    <w:rsid w:val="00BC6243"/>
    <w:rsid w:val="00BD0DF2"/>
    <w:rsid w:val="00BD1F0E"/>
    <w:rsid w:val="00BD2FD7"/>
    <w:rsid w:val="00BD39D8"/>
    <w:rsid w:val="00BD455A"/>
    <w:rsid w:val="00BD4B23"/>
    <w:rsid w:val="00BD7C6A"/>
    <w:rsid w:val="00BE0C4B"/>
    <w:rsid w:val="00BE37AC"/>
    <w:rsid w:val="00BF1A21"/>
    <w:rsid w:val="00BF3AC9"/>
    <w:rsid w:val="00C025F6"/>
    <w:rsid w:val="00C027C8"/>
    <w:rsid w:val="00C02BAB"/>
    <w:rsid w:val="00C06114"/>
    <w:rsid w:val="00C10954"/>
    <w:rsid w:val="00C171B2"/>
    <w:rsid w:val="00C20C34"/>
    <w:rsid w:val="00C212AD"/>
    <w:rsid w:val="00C2137B"/>
    <w:rsid w:val="00C21605"/>
    <w:rsid w:val="00C21E5E"/>
    <w:rsid w:val="00C23BC1"/>
    <w:rsid w:val="00C23F93"/>
    <w:rsid w:val="00C358F6"/>
    <w:rsid w:val="00C368E8"/>
    <w:rsid w:val="00C42F63"/>
    <w:rsid w:val="00C437A5"/>
    <w:rsid w:val="00C447AF"/>
    <w:rsid w:val="00C4488E"/>
    <w:rsid w:val="00C46699"/>
    <w:rsid w:val="00C50046"/>
    <w:rsid w:val="00C6465B"/>
    <w:rsid w:val="00C65AC7"/>
    <w:rsid w:val="00C66321"/>
    <w:rsid w:val="00C702FD"/>
    <w:rsid w:val="00C70759"/>
    <w:rsid w:val="00C74C30"/>
    <w:rsid w:val="00C75D50"/>
    <w:rsid w:val="00C76F03"/>
    <w:rsid w:val="00C77A5F"/>
    <w:rsid w:val="00C81504"/>
    <w:rsid w:val="00C8311E"/>
    <w:rsid w:val="00C84B80"/>
    <w:rsid w:val="00C95810"/>
    <w:rsid w:val="00C95F59"/>
    <w:rsid w:val="00C9763F"/>
    <w:rsid w:val="00CA1A97"/>
    <w:rsid w:val="00CA22FA"/>
    <w:rsid w:val="00CA2457"/>
    <w:rsid w:val="00CA75C9"/>
    <w:rsid w:val="00CB5269"/>
    <w:rsid w:val="00CB77D8"/>
    <w:rsid w:val="00CC0004"/>
    <w:rsid w:val="00CC0CD5"/>
    <w:rsid w:val="00CC0EF4"/>
    <w:rsid w:val="00CC173B"/>
    <w:rsid w:val="00CC2CCC"/>
    <w:rsid w:val="00CC2DCE"/>
    <w:rsid w:val="00CC2E46"/>
    <w:rsid w:val="00CC30DE"/>
    <w:rsid w:val="00CC38A4"/>
    <w:rsid w:val="00CC3C35"/>
    <w:rsid w:val="00CC5510"/>
    <w:rsid w:val="00CC665A"/>
    <w:rsid w:val="00CD5416"/>
    <w:rsid w:val="00CE0149"/>
    <w:rsid w:val="00CF0E49"/>
    <w:rsid w:val="00CF0F21"/>
    <w:rsid w:val="00CF3D18"/>
    <w:rsid w:val="00CF5C35"/>
    <w:rsid w:val="00CF697B"/>
    <w:rsid w:val="00CF7EE0"/>
    <w:rsid w:val="00D0055F"/>
    <w:rsid w:val="00D00E84"/>
    <w:rsid w:val="00D05A36"/>
    <w:rsid w:val="00D14E2A"/>
    <w:rsid w:val="00D168C6"/>
    <w:rsid w:val="00D1768D"/>
    <w:rsid w:val="00D203E1"/>
    <w:rsid w:val="00D23115"/>
    <w:rsid w:val="00D314C9"/>
    <w:rsid w:val="00D3451F"/>
    <w:rsid w:val="00D35519"/>
    <w:rsid w:val="00D36724"/>
    <w:rsid w:val="00D44068"/>
    <w:rsid w:val="00D452FA"/>
    <w:rsid w:val="00D46DBD"/>
    <w:rsid w:val="00D539CA"/>
    <w:rsid w:val="00D5456B"/>
    <w:rsid w:val="00D55CC8"/>
    <w:rsid w:val="00D602B4"/>
    <w:rsid w:val="00D60F7B"/>
    <w:rsid w:val="00D6558C"/>
    <w:rsid w:val="00D67FDD"/>
    <w:rsid w:val="00D718A5"/>
    <w:rsid w:val="00D765BA"/>
    <w:rsid w:val="00D840B9"/>
    <w:rsid w:val="00D846D9"/>
    <w:rsid w:val="00D85832"/>
    <w:rsid w:val="00D86400"/>
    <w:rsid w:val="00D874B0"/>
    <w:rsid w:val="00D94057"/>
    <w:rsid w:val="00DA02C1"/>
    <w:rsid w:val="00DA0655"/>
    <w:rsid w:val="00DA0A52"/>
    <w:rsid w:val="00DA0C5E"/>
    <w:rsid w:val="00DA3185"/>
    <w:rsid w:val="00DA41BC"/>
    <w:rsid w:val="00DA6B2B"/>
    <w:rsid w:val="00DB5ED1"/>
    <w:rsid w:val="00DB6336"/>
    <w:rsid w:val="00DC16E6"/>
    <w:rsid w:val="00DC1C03"/>
    <w:rsid w:val="00DC6687"/>
    <w:rsid w:val="00DD1F98"/>
    <w:rsid w:val="00DD2B92"/>
    <w:rsid w:val="00DD3D53"/>
    <w:rsid w:val="00DD6480"/>
    <w:rsid w:val="00DD6ADE"/>
    <w:rsid w:val="00DD727B"/>
    <w:rsid w:val="00DE5310"/>
    <w:rsid w:val="00DF1322"/>
    <w:rsid w:val="00DF302B"/>
    <w:rsid w:val="00DF3D63"/>
    <w:rsid w:val="00DF57F3"/>
    <w:rsid w:val="00E0171A"/>
    <w:rsid w:val="00E052E4"/>
    <w:rsid w:val="00E073D1"/>
    <w:rsid w:val="00E11F35"/>
    <w:rsid w:val="00E138F2"/>
    <w:rsid w:val="00E14304"/>
    <w:rsid w:val="00E15265"/>
    <w:rsid w:val="00E16056"/>
    <w:rsid w:val="00E16334"/>
    <w:rsid w:val="00E2057B"/>
    <w:rsid w:val="00E218C7"/>
    <w:rsid w:val="00E2255F"/>
    <w:rsid w:val="00E30605"/>
    <w:rsid w:val="00E306EB"/>
    <w:rsid w:val="00E3281D"/>
    <w:rsid w:val="00E33448"/>
    <w:rsid w:val="00E34647"/>
    <w:rsid w:val="00E34F7A"/>
    <w:rsid w:val="00E35C3F"/>
    <w:rsid w:val="00E4271A"/>
    <w:rsid w:val="00E47E4B"/>
    <w:rsid w:val="00E530B3"/>
    <w:rsid w:val="00E53313"/>
    <w:rsid w:val="00E5351D"/>
    <w:rsid w:val="00E53D9F"/>
    <w:rsid w:val="00E53ED6"/>
    <w:rsid w:val="00E55B68"/>
    <w:rsid w:val="00E5643F"/>
    <w:rsid w:val="00E61E0E"/>
    <w:rsid w:val="00E63240"/>
    <w:rsid w:val="00E716C8"/>
    <w:rsid w:val="00E74323"/>
    <w:rsid w:val="00E7454A"/>
    <w:rsid w:val="00E751A0"/>
    <w:rsid w:val="00E833BE"/>
    <w:rsid w:val="00E87EE4"/>
    <w:rsid w:val="00E9445D"/>
    <w:rsid w:val="00E96B88"/>
    <w:rsid w:val="00EA0D84"/>
    <w:rsid w:val="00EA32AA"/>
    <w:rsid w:val="00EA503A"/>
    <w:rsid w:val="00EC0810"/>
    <w:rsid w:val="00EC2B8A"/>
    <w:rsid w:val="00EC52B4"/>
    <w:rsid w:val="00EC68E7"/>
    <w:rsid w:val="00EC772F"/>
    <w:rsid w:val="00EC7B90"/>
    <w:rsid w:val="00ED517D"/>
    <w:rsid w:val="00EE3727"/>
    <w:rsid w:val="00EF076C"/>
    <w:rsid w:val="00EF0B94"/>
    <w:rsid w:val="00EF6FEB"/>
    <w:rsid w:val="00F00EB2"/>
    <w:rsid w:val="00F04B00"/>
    <w:rsid w:val="00F04B72"/>
    <w:rsid w:val="00F04E7C"/>
    <w:rsid w:val="00F068A0"/>
    <w:rsid w:val="00F22512"/>
    <w:rsid w:val="00F24C05"/>
    <w:rsid w:val="00F30434"/>
    <w:rsid w:val="00F30622"/>
    <w:rsid w:val="00F35305"/>
    <w:rsid w:val="00F35F43"/>
    <w:rsid w:val="00F37B9B"/>
    <w:rsid w:val="00F46281"/>
    <w:rsid w:val="00F530C5"/>
    <w:rsid w:val="00F536B3"/>
    <w:rsid w:val="00F547CC"/>
    <w:rsid w:val="00F54842"/>
    <w:rsid w:val="00F558A4"/>
    <w:rsid w:val="00F567BC"/>
    <w:rsid w:val="00F612CC"/>
    <w:rsid w:val="00F61C2D"/>
    <w:rsid w:val="00F61D41"/>
    <w:rsid w:val="00F636F0"/>
    <w:rsid w:val="00F6617E"/>
    <w:rsid w:val="00F7224E"/>
    <w:rsid w:val="00F72DCF"/>
    <w:rsid w:val="00F77215"/>
    <w:rsid w:val="00F80A07"/>
    <w:rsid w:val="00F81BCB"/>
    <w:rsid w:val="00F83741"/>
    <w:rsid w:val="00F84A96"/>
    <w:rsid w:val="00F92412"/>
    <w:rsid w:val="00F94665"/>
    <w:rsid w:val="00FA7551"/>
    <w:rsid w:val="00FB016C"/>
    <w:rsid w:val="00FB0E78"/>
    <w:rsid w:val="00FB0EF9"/>
    <w:rsid w:val="00FB1269"/>
    <w:rsid w:val="00FB1C33"/>
    <w:rsid w:val="00FC4EEA"/>
    <w:rsid w:val="00FD1030"/>
    <w:rsid w:val="00FD449C"/>
    <w:rsid w:val="00FE0BA9"/>
    <w:rsid w:val="00FE2437"/>
    <w:rsid w:val="00FE4603"/>
    <w:rsid w:val="00FE4F7F"/>
    <w:rsid w:val="00FE580A"/>
    <w:rsid w:val="00FE7A3D"/>
    <w:rsid w:val="00FF01C4"/>
    <w:rsid w:val="00FF01D6"/>
    <w:rsid w:val="00FF0505"/>
    <w:rsid w:val="00FF170D"/>
    <w:rsid w:val="00FF4784"/>
    <w:rsid w:val="00FF4FB3"/>
    <w:rsid w:val="00FF5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C8DD588-390F-45A5-9CCD-33940BC0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9D3E6D"/>
    <w:pPr>
      <w:keepNext/>
      <w:spacing w:before="240" w:after="60" w:line="240" w:lineRule="auto"/>
      <w:ind w:firstLine="0"/>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lbold-centr">
    <w:name w:val="zal bold-centr"/>
    <w:basedOn w:val="Normalny"/>
    <w:rsid w:val="00546B3C"/>
    <w:pPr>
      <w:keepNext/>
      <w:keepLines/>
      <w:widowControl w:val="0"/>
      <w:suppressAutoHyphens/>
      <w:autoSpaceDE w:val="0"/>
      <w:autoSpaceDN w:val="0"/>
      <w:adjustRightInd w:val="0"/>
      <w:spacing w:before="113" w:after="113" w:line="280" w:lineRule="atLeast"/>
      <w:ind w:firstLine="0"/>
      <w:jc w:val="center"/>
      <w:textAlignment w:val="center"/>
    </w:pPr>
    <w:rPr>
      <w:rFonts w:ascii="MyriadPro-Bold" w:eastAsia="Times New Roman" w:hAnsi="MyriadPro-Bold" w:cs="MyriadPro-Bold"/>
      <w:b/>
      <w:bCs/>
      <w:color w:val="000000"/>
      <w:lang w:eastAsia="pl-PL"/>
    </w:rPr>
  </w:style>
  <w:style w:type="paragraph" w:customStyle="1" w:styleId="Zal-text">
    <w:name w:val="Zal-text"/>
    <w:basedOn w:val="Normalny"/>
    <w:rsid w:val="00546B3C"/>
    <w:pPr>
      <w:widowControl w:val="0"/>
      <w:tabs>
        <w:tab w:val="right" w:leader="dot" w:pos="8674"/>
      </w:tabs>
      <w:autoSpaceDE w:val="0"/>
      <w:autoSpaceDN w:val="0"/>
      <w:adjustRightInd w:val="0"/>
      <w:spacing w:before="57" w:after="57" w:line="280" w:lineRule="atLeast"/>
      <w:ind w:left="57" w:right="57" w:firstLine="0"/>
      <w:jc w:val="both"/>
      <w:textAlignment w:val="center"/>
    </w:pPr>
    <w:rPr>
      <w:rFonts w:ascii="MyriadPro-Regular" w:eastAsia="Times New Roman" w:hAnsi="MyriadPro-Regular" w:cs="MyriadPro-Regular"/>
      <w:color w:val="000000"/>
      <w:lang w:eastAsia="pl-PL"/>
    </w:rPr>
  </w:style>
  <w:style w:type="paragraph" w:styleId="Nagwek">
    <w:name w:val="header"/>
    <w:basedOn w:val="Normalny"/>
    <w:link w:val="NagwekZnak"/>
    <w:uiPriority w:val="99"/>
    <w:unhideWhenUsed/>
    <w:rsid w:val="009D3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E6D"/>
  </w:style>
  <w:style w:type="paragraph" w:styleId="Stopka">
    <w:name w:val="footer"/>
    <w:basedOn w:val="Normalny"/>
    <w:link w:val="StopkaZnak"/>
    <w:uiPriority w:val="99"/>
    <w:unhideWhenUsed/>
    <w:rsid w:val="009D3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E6D"/>
  </w:style>
  <w:style w:type="character" w:customStyle="1" w:styleId="Nagwek4Znak">
    <w:name w:val="Nagłówek 4 Znak"/>
    <w:basedOn w:val="Domylnaczcionkaakapitu"/>
    <w:link w:val="Nagwek4"/>
    <w:rsid w:val="009D3E6D"/>
    <w:rPr>
      <w:rFonts w:ascii="Times New Roman" w:eastAsia="Times New Roman" w:hAnsi="Times New Roman" w:cs="Times New Roman"/>
      <w:b/>
      <w:bCs/>
      <w:sz w:val="28"/>
      <w:szCs w:val="28"/>
      <w:lang w:eastAsia="pl-PL"/>
    </w:rPr>
  </w:style>
  <w:style w:type="paragraph" w:styleId="Akapitzlist">
    <w:name w:val="List Paragraph"/>
    <w:basedOn w:val="Normalny"/>
    <w:uiPriority w:val="34"/>
    <w:qFormat/>
    <w:rsid w:val="004F1AE2"/>
    <w:pPr>
      <w:ind w:left="720"/>
      <w:contextualSpacing/>
    </w:pPr>
  </w:style>
  <w:style w:type="character" w:styleId="Odwoaniedokomentarza">
    <w:name w:val="annotation reference"/>
    <w:uiPriority w:val="99"/>
    <w:semiHidden/>
    <w:unhideWhenUsed/>
    <w:rsid w:val="00C21E5E"/>
    <w:rPr>
      <w:sz w:val="16"/>
      <w:szCs w:val="16"/>
    </w:rPr>
  </w:style>
  <w:style w:type="paragraph" w:styleId="Tekstkomentarza">
    <w:name w:val="annotation text"/>
    <w:basedOn w:val="Normalny"/>
    <w:link w:val="TekstkomentarzaZnak"/>
    <w:uiPriority w:val="99"/>
    <w:semiHidden/>
    <w:unhideWhenUsed/>
    <w:rsid w:val="00C21E5E"/>
    <w:pPr>
      <w:spacing w:after="200" w:line="276" w:lineRule="auto"/>
      <w:ind w:firstLine="0"/>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1E5E"/>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C21E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A3AA0-EC7C-4AE4-A054-C47CE895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16</Pages>
  <Words>3202</Words>
  <Characters>19214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Fuczyło</dc:creator>
  <cp:lastModifiedBy>Teresa Fuczyło</cp:lastModifiedBy>
  <cp:revision>315</cp:revision>
  <cp:lastPrinted>2024-09-10T09:13:00Z</cp:lastPrinted>
  <dcterms:created xsi:type="dcterms:W3CDTF">2015-03-12T09:46:00Z</dcterms:created>
  <dcterms:modified xsi:type="dcterms:W3CDTF">2025-01-15T06:45:00Z</dcterms:modified>
</cp:coreProperties>
</file>